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B5A002" w14:textId="4924634D" w:rsidR="00253776" w:rsidRPr="00B51758" w:rsidRDefault="00253776" w:rsidP="00253776">
      <w:pPr>
        <w:pStyle w:val="04xlpa"/>
        <w:rPr>
          <w:rStyle w:val="jsgrdq"/>
          <w:rFonts w:ascii="Arial" w:hAnsi="Arial" w:cs="Arial"/>
          <w:b/>
          <w:bCs/>
          <w:color w:val="000000"/>
          <w:sz w:val="22"/>
          <w:szCs w:val="22"/>
        </w:rPr>
      </w:pPr>
      <w:r w:rsidRPr="00B51758">
        <w:rPr>
          <w:noProof/>
          <w:sz w:val="22"/>
          <w:szCs w:val="22"/>
        </w:rPr>
        <w:drawing>
          <wp:anchor distT="0" distB="0" distL="114300" distR="114300" simplePos="0" relativeHeight="251658240" behindDoc="1" locked="0" layoutInCell="1" allowOverlap="1" wp14:anchorId="14026F7F" wp14:editId="1F4536F6">
            <wp:simplePos x="0" y="0"/>
            <wp:positionH relativeFrom="margin">
              <wp:posOffset>617855</wp:posOffset>
            </wp:positionH>
            <wp:positionV relativeFrom="paragraph">
              <wp:posOffset>0</wp:posOffset>
            </wp:positionV>
            <wp:extent cx="4533900" cy="1143000"/>
            <wp:effectExtent l="0" t="0" r="0" b="0"/>
            <wp:wrapTight wrapText="bothSides">
              <wp:wrapPolygon edited="0">
                <wp:start x="0" y="0"/>
                <wp:lineTo x="0" y="21240"/>
                <wp:lineTo x="21509" y="21240"/>
                <wp:lineTo x="215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33900" cy="1143000"/>
                    </a:xfrm>
                    <a:prstGeom prst="rect">
                      <a:avLst/>
                    </a:prstGeom>
                  </pic:spPr>
                </pic:pic>
              </a:graphicData>
            </a:graphic>
            <wp14:sizeRelH relativeFrom="page">
              <wp14:pctWidth>0</wp14:pctWidth>
            </wp14:sizeRelH>
            <wp14:sizeRelV relativeFrom="page">
              <wp14:pctHeight>0</wp14:pctHeight>
            </wp14:sizeRelV>
          </wp:anchor>
        </w:drawing>
      </w:r>
    </w:p>
    <w:p w14:paraId="7086E07B" w14:textId="77777777" w:rsidR="00253776" w:rsidRPr="00B51758" w:rsidRDefault="00253776" w:rsidP="00253776">
      <w:pPr>
        <w:pStyle w:val="04xlpa"/>
        <w:rPr>
          <w:rStyle w:val="jsgrdq"/>
          <w:rFonts w:ascii="Arial" w:hAnsi="Arial" w:cs="Arial"/>
          <w:b/>
          <w:bCs/>
          <w:color w:val="000000"/>
          <w:sz w:val="22"/>
          <w:szCs w:val="22"/>
        </w:rPr>
      </w:pPr>
    </w:p>
    <w:tbl>
      <w:tblPr>
        <w:tblStyle w:val="TableGrid"/>
        <w:tblpPr w:leftFromText="180" w:rightFromText="180" w:vertAnchor="text" w:horzAnchor="margin" w:tblpY="846"/>
        <w:tblW w:w="0" w:type="auto"/>
        <w:tblLook w:val="04A0" w:firstRow="1" w:lastRow="0" w:firstColumn="1" w:lastColumn="0" w:noHBand="0" w:noVBand="1"/>
      </w:tblPr>
      <w:tblGrid>
        <w:gridCol w:w="4508"/>
        <w:gridCol w:w="4508"/>
      </w:tblGrid>
      <w:tr w:rsidR="00BA2672" w:rsidRPr="00B51758" w14:paraId="7B4415E8" w14:textId="77777777" w:rsidTr="00BA2672">
        <w:tc>
          <w:tcPr>
            <w:tcW w:w="4508" w:type="dxa"/>
          </w:tcPr>
          <w:p w14:paraId="56678949" w14:textId="77777777" w:rsidR="00BA2672" w:rsidRPr="00B51758" w:rsidRDefault="00BA2672" w:rsidP="00BA2672">
            <w:pPr>
              <w:pStyle w:val="04xlpa"/>
              <w:rPr>
                <w:rStyle w:val="jsgrdq"/>
                <w:rFonts w:ascii="Arial" w:hAnsi="Arial" w:cs="Arial"/>
                <w:b/>
                <w:bCs/>
                <w:color w:val="000000"/>
                <w:sz w:val="22"/>
                <w:szCs w:val="22"/>
              </w:rPr>
            </w:pPr>
            <w:r w:rsidRPr="00B51758">
              <w:rPr>
                <w:rStyle w:val="jsgrdq"/>
                <w:rFonts w:ascii="Arial" w:hAnsi="Arial" w:cs="Arial"/>
                <w:b/>
                <w:bCs/>
                <w:color w:val="000000"/>
                <w:sz w:val="22"/>
                <w:szCs w:val="22"/>
              </w:rPr>
              <w:t>You said…</w:t>
            </w:r>
          </w:p>
        </w:tc>
        <w:tc>
          <w:tcPr>
            <w:tcW w:w="4508" w:type="dxa"/>
          </w:tcPr>
          <w:p w14:paraId="5D0A9D5E" w14:textId="77777777" w:rsidR="00BA2672" w:rsidRPr="00B51758" w:rsidRDefault="00BA2672" w:rsidP="00BA2672">
            <w:pPr>
              <w:pStyle w:val="04xlpa"/>
              <w:rPr>
                <w:rStyle w:val="jsgrdq"/>
                <w:rFonts w:ascii="Arial" w:hAnsi="Arial" w:cs="Arial"/>
                <w:b/>
                <w:bCs/>
                <w:color w:val="000000"/>
                <w:sz w:val="22"/>
                <w:szCs w:val="22"/>
              </w:rPr>
            </w:pPr>
            <w:r w:rsidRPr="00B51758">
              <w:rPr>
                <w:rStyle w:val="jsgrdq"/>
                <w:rFonts w:ascii="Arial" w:hAnsi="Arial" w:cs="Arial"/>
                <w:b/>
                <w:bCs/>
                <w:color w:val="000000"/>
                <w:sz w:val="22"/>
                <w:szCs w:val="22"/>
              </w:rPr>
              <w:t>We did…</w:t>
            </w:r>
          </w:p>
        </w:tc>
      </w:tr>
      <w:tr w:rsidR="00BA2672" w:rsidRPr="00B51758" w14:paraId="7FCAF4D9" w14:textId="77777777" w:rsidTr="00BA2672">
        <w:tc>
          <w:tcPr>
            <w:tcW w:w="4508" w:type="dxa"/>
          </w:tcPr>
          <w:p w14:paraId="7E0961A9" w14:textId="77777777" w:rsidR="00BA2672" w:rsidRPr="00B51758" w:rsidRDefault="00BA2672" w:rsidP="00BA2672">
            <w:pPr>
              <w:pStyle w:val="04xlpa"/>
              <w:spacing w:before="0" w:beforeAutospacing="0" w:after="0" w:afterAutospacing="0"/>
              <w:rPr>
                <w:rStyle w:val="jsgrdq"/>
                <w:rFonts w:ascii="Arial" w:hAnsi="Arial" w:cs="Arial"/>
                <w:color w:val="000000"/>
                <w:sz w:val="22"/>
                <w:szCs w:val="22"/>
              </w:rPr>
            </w:pPr>
          </w:p>
          <w:p w14:paraId="48F47E50" w14:textId="77777777" w:rsidR="00BA2672" w:rsidRPr="00B51758" w:rsidRDefault="00BA2672" w:rsidP="00BA2672">
            <w:pPr>
              <w:pStyle w:val="04xlpa"/>
              <w:spacing w:before="0" w:beforeAutospacing="0" w:after="0" w:afterAutospacing="0"/>
              <w:rPr>
                <w:rStyle w:val="jsgrdq"/>
                <w:rFonts w:ascii="Arial" w:hAnsi="Arial" w:cs="Arial"/>
                <w:color w:val="000000"/>
                <w:sz w:val="22"/>
                <w:szCs w:val="22"/>
              </w:rPr>
            </w:pPr>
            <w:r w:rsidRPr="00B51758">
              <w:rPr>
                <w:rStyle w:val="jsgrdq"/>
                <w:rFonts w:ascii="Arial" w:hAnsi="Arial" w:cs="Arial"/>
                <w:color w:val="000000"/>
                <w:sz w:val="22"/>
                <w:szCs w:val="22"/>
              </w:rPr>
              <w:t>“The Direct Payment system is hard to understand and can be unclear for parents and carers.”</w:t>
            </w:r>
          </w:p>
        </w:tc>
        <w:tc>
          <w:tcPr>
            <w:tcW w:w="4508" w:type="dxa"/>
          </w:tcPr>
          <w:p w14:paraId="669EAEE2" w14:textId="77777777" w:rsidR="00BA2672" w:rsidRPr="00B51758" w:rsidRDefault="00BA2672" w:rsidP="00BA2672">
            <w:pPr>
              <w:pStyle w:val="04xlpa"/>
              <w:spacing w:before="0" w:beforeAutospacing="0" w:after="0" w:afterAutospacing="0"/>
              <w:rPr>
                <w:rStyle w:val="jsgrdq"/>
                <w:rFonts w:ascii="Arial" w:hAnsi="Arial" w:cs="Arial"/>
                <w:color w:val="000000"/>
                <w:sz w:val="22"/>
                <w:szCs w:val="22"/>
              </w:rPr>
            </w:pPr>
          </w:p>
          <w:p w14:paraId="70A7FC8D" w14:textId="77777777" w:rsidR="00BA2672" w:rsidRPr="00B51758" w:rsidRDefault="00BA2672" w:rsidP="00BA2672">
            <w:pPr>
              <w:pStyle w:val="04xlpa"/>
              <w:spacing w:before="0" w:beforeAutospacing="0" w:after="0" w:afterAutospacing="0"/>
              <w:rPr>
                <w:rStyle w:val="jsgrdq"/>
                <w:rFonts w:ascii="Arial" w:hAnsi="Arial" w:cs="Arial"/>
                <w:color w:val="000000"/>
                <w:sz w:val="22"/>
                <w:szCs w:val="22"/>
              </w:rPr>
            </w:pPr>
            <w:r w:rsidRPr="00B51758">
              <w:rPr>
                <w:rStyle w:val="jsgrdq"/>
                <w:rFonts w:ascii="Arial" w:hAnsi="Arial" w:cs="Arial"/>
                <w:color w:val="000000"/>
                <w:sz w:val="22"/>
                <w:szCs w:val="22"/>
              </w:rPr>
              <w:t xml:space="preserve">An online drop in question-and-answer session has been arranged for parents and carers on Tuesday April 20th at 11:00am. It is planned that a similar session will be run again after a few months to address any further issues that have arisen and to ensure that information can be updated. </w:t>
            </w:r>
          </w:p>
          <w:p w14:paraId="77908F00" w14:textId="77777777" w:rsidR="00BA2672" w:rsidRPr="00B51758" w:rsidRDefault="00BA2672" w:rsidP="00BA2672">
            <w:pPr>
              <w:pStyle w:val="04xlpa"/>
              <w:spacing w:before="0" w:beforeAutospacing="0" w:after="0" w:afterAutospacing="0"/>
              <w:rPr>
                <w:rStyle w:val="jsgrdq"/>
                <w:rFonts w:ascii="Arial" w:hAnsi="Arial" w:cs="Arial"/>
                <w:color w:val="000000"/>
                <w:sz w:val="22"/>
                <w:szCs w:val="22"/>
              </w:rPr>
            </w:pPr>
          </w:p>
        </w:tc>
      </w:tr>
      <w:tr w:rsidR="00BA2672" w:rsidRPr="00B51758" w14:paraId="09BD8179" w14:textId="77777777" w:rsidTr="00BA2672">
        <w:tc>
          <w:tcPr>
            <w:tcW w:w="4508" w:type="dxa"/>
          </w:tcPr>
          <w:p w14:paraId="282020CB" w14:textId="77777777" w:rsidR="00BA2672" w:rsidRPr="00B51758" w:rsidRDefault="00BA2672" w:rsidP="00BA2672">
            <w:pPr>
              <w:pStyle w:val="04xlpa"/>
              <w:spacing w:before="0" w:beforeAutospacing="0" w:after="0" w:afterAutospacing="0"/>
              <w:rPr>
                <w:rStyle w:val="jsgrdq"/>
                <w:rFonts w:ascii="Arial" w:hAnsi="Arial" w:cs="Arial"/>
                <w:color w:val="000000"/>
                <w:sz w:val="22"/>
                <w:szCs w:val="22"/>
              </w:rPr>
            </w:pPr>
          </w:p>
          <w:p w14:paraId="7396DE3D" w14:textId="77777777" w:rsidR="00BA2672" w:rsidRPr="00B51758" w:rsidRDefault="00BA2672" w:rsidP="00BA2672">
            <w:pPr>
              <w:pStyle w:val="04xlpa"/>
              <w:spacing w:before="0" w:beforeAutospacing="0" w:after="0" w:afterAutospacing="0"/>
              <w:rPr>
                <w:rStyle w:val="jsgrdq"/>
                <w:rFonts w:ascii="Arial" w:hAnsi="Arial" w:cs="Arial"/>
                <w:color w:val="000000"/>
                <w:sz w:val="22"/>
                <w:szCs w:val="22"/>
              </w:rPr>
            </w:pPr>
            <w:r w:rsidRPr="00B51758">
              <w:rPr>
                <w:rStyle w:val="jsgrdq"/>
                <w:rFonts w:ascii="Arial" w:hAnsi="Arial" w:cs="Arial"/>
                <w:color w:val="000000"/>
                <w:sz w:val="22"/>
                <w:szCs w:val="22"/>
              </w:rPr>
              <w:t>“Relevant local information can be difficult to locate on the Local Offer pages.”</w:t>
            </w:r>
          </w:p>
          <w:p w14:paraId="7DD8C9D6" w14:textId="77777777" w:rsidR="00BA2672" w:rsidRPr="00B51758" w:rsidRDefault="00BA2672" w:rsidP="00BA2672">
            <w:pPr>
              <w:pStyle w:val="04xlpa"/>
              <w:spacing w:before="0" w:beforeAutospacing="0" w:after="0" w:afterAutospacing="0"/>
              <w:rPr>
                <w:rStyle w:val="jsgrdq"/>
                <w:rFonts w:ascii="Arial" w:hAnsi="Arial" w:cs="Arial"/>
                <w:color w:val="000000"/>
                <w:sz w:val="22"/>
                <w:szCs w:val="22"/>
              </w:rPr>
            </w:pPr>
          </w:p>
        </w:tc>
        <w:tc>
          <w:tcPr>
            <w:tcW w:w="4508" w:type="dxa"/>
          </w:tcPr>
          <w:p w14:paraId="00C4045E" w14:textId="77777777" w:rsidR="00BA2672" w:rsidRPr="00B51758" w:rsidRDefault="00BA2672" w:rsidP="00BA2672">
            <w:pPr>
              <w:pStyle w:val="04xlpa"/>
              <w:spacing w:before="0" w:beforeAutospacing="0" w:after="0" w:afterAutospacing="0"/>
              <w:rPr>
                <w:rStyle w:val="jsgrdq"/>
                <w:rFonts w:ascii="Arial" w:hAnsi="Arial" w:cs="Arial"/>
                <w:color w:val="000000"/>
                <w:sz w:val="22"/>
                <w:szCs w:val="22"/>
              </w:rPr>
            </w:pPr>
          </w:p>
          <w:p w14:paraId="7AE833BB" w14:textId="77777777" w:rsidR="00BA2672" w:rsidRPr="00B51758" w:rsidRDefault="00BA2672" w:rsidP="00BA2672">
            <w:pPr>
              <w:pStyle w:val="04xlpa"/>
              <w:spacing w:before="0" w:beforeAutospacing="0" w:after="0" w:afterAutospacing="0"/>
              <w:rPr>
                <w:rStyle w:val="jsgrdq"/>
                <w:rFonts w:ascii="Arial" w:hAnsi="Arial" w:cs="Arial"/>
                <w:color w:val="000000"/>
                <w:sz w:val="22"/>
                <w:szCs w:val="22"/>
              </w:rPr>
            </w:pPr>
            <w:r w:rsidRPr="00B51758">
              <w:rPr>
                <w:rStyle w:val="jsgrdq"/>
                <w:rFonts w:ascii="Arial" w:hAnsi="Arial" w:cs="Arial"/>
                <w:color w:val="000000"/>
                <w:sz w:val="22"/>
                <w:szCs w:val="22"/>
              </w:rPr>
              <w:t>Work has been undertaken to add links signposting to important local information at the top of the landing pages for each section.  This will be rolled out across all sections of the Local Offer.</w:t>
            </w:r>
          </w:p>
          <w:p w14:paraId="391585DF" w14:textId="77777777" w:rsidR="00BA2672" w:rsidRPr="00B51758" w:rsidRDefault="00BA2672" w:rsidP="00BA2672">
            <w:pPr>
              <w:pStyle w:val="04xlpa"/>
              <w:spacing w:before="0" w:beforeAutospacing="0" w:after="0" w:afterAutospacing="0"/>
              <w:rPr>
                <w:rStyle w:val="jsgrdq"/>
                <w:rFonts w:ascii="Arial" w:hAnsi="Arial" w:cs="Arial"/>
                <w:color w:val="000000"/>
                <w:sz w:val="22"/>
                <w:szCs w:val="22"/>
              </w:rPr>
            </w:pPr>
          </w:p>
        </w:tc>
      </w:tr>
      <w:tr w:rsidR="00BA2672" w:rsidRPr="00B51758" w14:paraId="44FEAECF" w14:textId="77777777" w:rsidTr="00BA2672">
        <w:tc>
          <w:tcPr>
            <w:tcW w:w="4508" w:type="dxa"/>
          </w:tcPr>
          <w:p w14:paraId="461CC10B" w14:textId="77777777" w:rsidR="00BA2672" w:rsidRPr="00B51758" w:rsidRDefault="00BA2672" w:rsidP="00BA2672">
            <w:pPr>
              <w:pStyle w:val="04xlpa"/>
              <w:spacing w:before="0" w:beforeAutospacing="0" w:after="0" w:afterAutospacing="0"/>
              <w:rPr>
                <w:rStyle w:val="jsgrdq"/>
                <w:rFonts w:ascii="Arial" w:hAnsi="Arial" w:cs="Arial"/>
                <w:color w:val="000000"/>
                <w:sz w:val="22"/>
                <w:szCs w:val="22"/>
              </w:rPr>
            </w:pPr>
          </w:p>
          <w:p w14:paraId="5826A4C7" w14:textId="77777777" w:rsidR="00BA2672" w:rsidRPr="00B51758" w:rsidRDefault="00BA2672" w:rsidP="00BA2672">
            <w:pPr>
              <w:pStyle w:val="04xlpa"/>
              <w:spacing w:before="0" w:beforeAutospacing="0" w:after="0" w:afterAutospacing="0"/>
              <w:rPr>
                <w:rStyle w:val="jsgrdq"/>
                <w:rFonts w:ascii="Arial" w:hAnsi="Arial" w:cs="Arial"/>
                <w:color w:val="000000"/>
                <w:sz w:val="22"/>
                <w:szCs w:val="22"/>
              </w:rPr>
            </w:pPr>
            <w:r w:rsidRPr="00B51758">
              <w:rPr>
                <w:rStyle w:val="jsgrdq"/>
                <w:rFonts w:ascii="Arial" w:hAnsi="Arial" w:cs="Arial"/>
                <w:color w:val="000000"/>
                <w:sz w:val="22"/>
                <w:szCs w:val="22"/>
              </w:rPr>
              <w:t>“Professionals know everything about us, but we don’t know much about the professionals.”</w:t>
            </w:r>
          </w:p>
          <w:p w14:paraId="5D8C41B4" w14:textId="77777777" w:rsidR="00BA2672" w:rsidRPr="00B51758" w:rsidRDefault="00BA2672" w:rsidP="00BA2672">
            <w:pPr>
              <w:pStyle w:val="04xlpa"/>
              <w:spacing w:before="0" w:beforeAutospacing="0" w:after="0" w:afterAutospacing="0"/>
              <w:rPr>
                <w:rStyle w:val="jsgrdq"/>
                <w:rFonts w:ascii="Arial" w:hAnsi="Arial" w:cs="Arial"/>
                <w:color w:val="000000"/>
                <w:sz w:val="22"/>
                <w:szCs w:val="22"/>
              </w:rPr>
            </w:pPr>
          </w:p>
          <w:p w14:paraId="68C1874E" w14:textId="77777777" w:rsidR="00BA2672" w:rsidRPr="00B51758" w:rsidRDefault="00BA2672" w:rsidP="00BA2672">
            <w:pPr>
              <w:pStyle w:val="04xlpa"/>
              <w:spacing w:before="0" w:beforeAutospacing="0" w:after="0" w:afterAutospacing="0"/>
              <w:rPr>
                <w:rStyle w:val="jsgrdq"/>
                <w:rFonts w:ascii="Arial" w:hAnsi="Arial" w:cs="Arial"/>
                <w:color w:val="000000"/>
                <w:sz w:val="22"/>
                <w:szCs w:val="22"/>
              </w:rPr>
            </w:pPr>
          </w:p>
        </w:tc>
        <w:tc>
          <w:tcPr>
            <w:tcW w:w="4508" w:type="dxa"/>
          </w:tcPr>
          <w:p w14:paraId="6370B145" w14:textId="77777777" w:rsidR="00BA2672" w:rsidRPr="00B51758" w:rsidRDefault="00BA2672" w:rsidP="00BA2672">
            <w:pPr>
              <w:pStyle w:val="04xlpa"/>
              <w:spacing w:before="0" w:beforeAutospacing="0" w:after="0" w:afterAutospacing="0"/>
              <w:rPr>
                <w:rStyle w:val="jsgrdq"/>
                <w:rFonts w:ascii="Arial" w:hAnsi="Arial" w:cs="Arial"/>
                <w:color w:val="000000"/>
                <w:sz w:val="22"/>
                <w:szCs w:val="22"/>
              </w:rPr>
            </w:pPr>
          </w:p>
          <w:p w14:paraId="754DA085" w14:textId="77777777" w:rsidR="00BA2672" w:rsidRPr="00B51758" w:rsidRDefault="00BA2672" w:rsidP="00BA2672">
            <w:pPr>
              <w:pStyle w:val="04xlpa"/>
              <w:spacing w:before="0" w:beforeAutospacing="0" w:after="0" w:afterAutospacing="0"/>
              <w:rPr>
                <w:rStyle w:val="jsgrdq"/>
                <w:rFonts w:ascii="Arial" w:hAnsi="Arial" w:cs="Arial"/>
                <w:color w:val="000000"/>
                <w:sz w:val="22"/>
                <w:szCs w:val="22"/>
              </w:rPr>
            </w:pPr>
            <w:r w:rsidRPr="00B51758">
              <w:rPr>
                <w:rStyle w:val="jsgrdq"/>
                <w:rFonts w:ascii="Arial" w:hAnsi="Arial" w:cs="Arial"/>
                <w:color w:val="000000"/>
                <w:sz w:val="22"/>
                <w:szCs w:val="22"/>
              </w:rPr>
              <w:t xml:space="preserve">Staff passports/pen portraits are being added to the Local Offer pages so that children and young people and their parents/carers will be able to find out about the professionals that they are dealing with. </w:t>
            </w:r>
          </w:p>
          <w:p w14:paraId="3E140334" w14:textId="77777777" w:rsidR="00BA2672" w:rsidRPr="00B51758" w:rsidRDefault="00BA2672" w:rsidP="00BA2672">
            <w:pPr>
              <w:pStyle w:val="04xlpa"/>
              <w:spacing w:before="0" w:beforeAutospacing="0" w:after="0" w:afterAutospacing="0"/>
              <w:rPr>
                <w:rStyle w:val="jsgrdq"/>
                <w:rFonts w:ascii="Arial" w:hAnsi="Arial" w:cs="Arial"/>
                <w:color w:val="000000"/>
                <w:sz w:val="22"/>
                <w:szCs w:val="22"/>
              </w:rPr>
            </w:pPr>
            <w:r w:rsidRPr="00B51758">
              <w:rPr>
                <w:rStyle w:val="jsgrdq"/>
                <w:rFonts w:ascii="Arial" w:hAnsi="Arial" w:cs="Arial"/>
                <w:color w:val="000000"/>
                <w:sz w:val="22"/>
                <w:szCs w:val="22"/>
              </w:rPr>
              <w:t>Inclusion Team information will be available on the Local Offer in the Summer Term and SEN Team will follow shortly.</w:t>
            </w:r>
          </w:p>
          <w:p w14:paraId="20CBC985" w14:textId="77777777" w:rsidR="00BA2672" w:rsidRPr="00B51758" w:rsidRDefault="00BA2672" w:rsidP="00BA2672">
            <w:pPr>
              <w:pStyle w:val="04xlpa"/>
              <w:spacing w:before="0" w:beforeAutospacing="0" w:after="0" w:afterAutospacing="0"/>
              <w:rPr>
                <w:rStyle w:val="jsgrdq"/>
                <w:rFonts w:ascii="Arial" w:hAnsi="Arial" w:cs="Arial"/>
                <w:color w:val="000000"/>
                <w:sz w:val="22"/>
                <w:szCs w:val="22"/>
              </w:rPr>
            </w:pPr>
          </w:p>
        </w:tc>
      </w:tr>
      <w:tr w:rsidR="00BA2672" w:rsidRPr="00B51758" w14:paraId="0D140E1B" w14:textId="77777777" w:rsidTr="00BA2672">
        <w:tc>
          <w:tcPr>
            <w:tcW w:w="4508" w:type="dxa"/>
          </w:tcPr>
          <w:p w14:paraId="79851D94" w14:textId="77777777" w:rsidR="00BA2672" w:rsidRPr="00B51758" w:rsidRDefault="00BA2672" w:rsidP="00BA2672">
            <w:pPr>
              <w:pStyle w:val="04xlpa"/>
              <w:spacing w:before="0" w:beforeAutospacing="0" w:after="0" w:afterAutospacing="0"/>
              <w:rPr>
                <w:rStyle w:val="jsgrdq"/>
                <w:rFonts w:ascii="Arial" w:hAnsi="Arial" w:cs="Arial"/>
                <w:color w:val="000000"/>
                <w:sz w:val="22"/>
                <w:szCs w:val="22"/>
              </w:rPr>
            </w:pPr>
          </w:p>
          <w:p w14:paraId="02CCA391" w14:textId="77777777" w:rsidR="00BA2672" w:rsidRPr="00B51758" w:rsidRDefault="00BA2672" w:rsidP="00BA2672">
            <w:pPr>
              <w:pStyle w:val="04xlpa"/>
              <w:spacing w:before="0" w:beforeAutospacing="0" w:after="0" w:afterAutospacing="0"/>
              <w:rPr>
                <w:rStyle w:val="jsgrdq"/>
                <w:rFonts w:ascii="Arial" w:hAnsi="Arial" w:cs="Arial"/>
                <w:color w:val="000000"/>
                <w:sz w:val="22"/>
                <w:szCs w:val="22"/>
              </w:rPr>
            </w:pPr>
            <w:r w:rsidRPr="00B51758">
              <w:rPr>
                <w:rStyle w:val="jsgrdq"/>
                <w:rFonts w:ascii="Arial" w:hAnsi="Arial" w:cs="Arial"/>
                <w:color w:val="000000"/>
                <w:sz w:val="22"/>
                <w:szCs w:val="22"/>
              </w:rPr>
              <w:t>“The Local Offer can be difficult to navigate as the Bury Directory banner and tabs are very prominent at the top of the page which is confusing.”</w:t>
            </w:r>
          </w:p>
          <w:p w14:paraId="7FAB9B42" w14:textId="77777777" w:rsidR="00BA2672" w:rsidRPr="00B51758" w:rsidRDefault="00BA2672" w:rsidP="00BA2672">
            <w:pPr>
              <w:pStyle w:val="04xlpa"/>
              <w:spacing w:before="0" w:beforeAutospacing="0" w:after="0" w:afterAutospacing="0"/>
              <w:rPr>
                <w:rStyle w:val="jsgrdq"/>
                <w:rFonts w:ascii="Arial" w:hAnsi="Arial" w:cs="Arial"/>
                <w:color w:val="000000"/>
                <w:sz w:val="22"/>
                <w:szCs w:val="22"/>
              </w:rPr>
            </w:pPr>
          </w:p>
        </w:tc>
        <w:tc>
          <w:tcPr>
            <w:tcW w:w="4508" w:type="dxa"/>
          </w:tcPr>
          <w:p w14:paraId="75702BE9" w14:textId="77777777" w:rsidR="00BA2672" w:rsidRPr="00B51758" w:rsidRDefault="00BA2672" w:rsidP="00BA2672">
            <w:pPr>
              <w:pStyle w:val="04xlpa"/>
              <w:spacing w:before="0" w:beforeAutospacing="0" w:after="0" w:afterAutospacing="0"/>
              <w:rPr>
                <w:rStyle w:val="jsgrdq"/>
                <w:rFonts w:ascii="Arial" w:hAnsi="Arial" w:cs="Arial"/>
                <w:color w:val="000000"/>
                <w:sz w:val="22"/>
                <w:szCs w:val="22"/>
              </w:rPr>
            </w:pPr>
          </w:p>
          <w:p w14:paraId="6B518101" w14:textId="711A9A02" w:rsidR="00BA2672" w:rsidRPr="00B51758" w:rsidRDefault="00BA2672" w:rsidP="00BA2672">
            <w:pPr>
              <w:pStyle w:val="04xlpa"/>
              <w:spacing w:before="0" w:beforeAutospacing="0" w:after="0" w:afterAutospacing="0"/>
              <w:rPr>
                <w:rStyle w:val="jsgrdq"/>
                <w:rFonts w:ascii="Arial" w:hAnsi="Arial" w:cs="Arial"/>
                <w:color w:val="000000"/>
                <w:sz w:val="22"/>
                <w:szCs w:val="22"/>
              </w:rPr>
            </w:pPr>
            <w:r w:rsidRPr="00B51758">
              <w:rPr>
                <w:rStyle w:val="jsgrdq"/>
                <w:rFonts w:ascii="Arial" w:hAnsi="Arial" w:cs="Arial"/>
                <w:color w:val="000000"/>
                <w:sz w:val="22"/>
                <w:szCs w:val="22"/>
              </w:rPr>
              <w:t xml:space="preserve">The Bury Directory banner has </w:t>
            </w:r>
            <w:r w:rsidR="00B51758" w:rsidRPr="00B51758">
              <w:rPr>
                <w:rStyle w:val="jsgrdq"/>
                <w:rFonts w:ascii="Arial" w:hAnsi="Arial" w:cs="Arial"/>
                <w:color w:val="000000"/>
                <w:sz w:val="22"/>
                <w:szCs w:val="22"/>
              </w:rPr>
              <w:t xml:space="preserve">now </w:t>
            </w:r>
            <w:r w:rsidRPr="00B51758">
              <w:rPr>
                <w:rStyle w:val="jsgrdq"/>
                <w:rFonts w:ascii="Arial" w:hAnsi="Arial" w:cs="Arial"/>
                <w:color w:val="000000"/>
                <w:sz w:val="22"/>
                <w:szCs w:val="22"/>
              </w:rPr>
              <w:t>been removed from the Local Offer pages and the tabs have been simplified to make it easier to use.</w:t>
            </w:r>
          </w:p>
          <w:p w14:paraId="30CEEAD7" w14:textId="77777777" w:rsidR="00BA2672" w:rsidRPr="00B51758" w:rsidRDefault="00BA2672" w:rsidP="00BA2672">
            <w:pPr>
              <w:pStyle w:val="04xlpa"/>
              <w:spacing w:before="0" w:beforeAutospacing="0" w:after="0" w:afterAutospacing="0"/>
              <w:rPr>
                <w:rStyle w:val="jsgrdq"/>
                <w:rFonts w:ascii="Arial" w:hAnsi="Arial" w:cs="Arial"/>
                <w:color w:val="000000"/>
                <w:sz w:val="22"/>
                <w:szCs w:val="22"/>
              </w:rPr>
            </w:pPr>
          </w:p>
        </w:tc>
      </w:tr>
      <w:tr w:rsidR="00BA2672" w:rsidRPr="00B51758" w14:paraId="76952A20" w14:textId="77777777" w:rsidTr="00BA2672">
        <w:tc>
          <w:tcPr>
            <w:tcW w:w="4508" w:type="dxa"/>
          </w:tcPr>
          <w:p w14:paraId="556DC6AC" w14:textId="77777777" w:rsidR="00BA2672" w:rsidRPr="00B51758" w:rsidRDefault="00BA2672" w:rsidP="00BA2672">
            <w:pPr>
              <w:pStyle w:val="04xlpa"/>
              <w:spacing w:before="0" w:beforeAutospacing="0" w:after="0" w:afterAutospacing="0"/>
              <w:rPr>
                <w:rStyle w:val="jsgrdq"/>
                <w:rFonts w:ascii="Arial" w:hAnsi="Arial" w:cs="Arial"/>
                <w:color w:val="000000"/>
                <w:sz w:val="22"/>
                <w:szCs w:val="22"/>
              </w:rPr>
            </w:pPr>
          </w:p>
          <w:p w14:paraId="6F6B9C68" w14:textId="77777777" w:rsidR="00BA2672" w:rsidRPr="00B51758" w:rsidRDefault="00BA2672" w:rsidP="00BA2672">
            <w:pPr>
              <w:pStyle w:val="04xlpa"/>
              <w:spacing w:before="0" w:beforeAutospacing="0" w:after="0" w:afterAutospacing="0"/>
              <w:rPr>
                <w:rStyle w:val="jsgrdq"/>
                <w:rFonts w:ascii="Arial" w:hAnsi="Arial" w:cs="Arial"/>
                <w:color w:val="000000"/>
                <w:sz w:val="22"/>
                <w:szCs w:val="22"/>
              </w:rPr>
            </w:pPr>
            <w:r w:rsidRPr="00B51758">
              <w:rPr>
                <w:rStyle w:val="jsgrdq"/>
                <w:rFonts w:ascii="Arial" w:hAnsi="Arial" w:cs="Arial"/>
                <w:color w:val="000000"/>
                <w:sz w:val="22"/>
                <w:szCs w:val="22"/>
              </w:rPr>
              <w:t>“The SEN Team can be difficult to get in contact with and my phone calls are not always answered or returned.”</w:t>
            </w:r>
          </w:p>
          <w:p w14:paraId="0E5C3F84" w14:textId="77777777" w:rsidR="00BA2672" w:rsidRPr="00B51758" w:rsidRDefault="00BA2672" w:rsidP="00BA2672">
            <w:pPr>
              <w:pStyle w:val="04xlpa"/>
              <w:spacing w:before="0" w:beforeAutospacing="0" w:after="0" w:afterAutospacing="0"/>
              <w:rPr>
                <w:rStyle w:val="jsgrdq"/>
                <w:rFonts w:ascii="Arial" w:hAnsi="Arial" w:cs="Arial"/>
                <w:color w:val="000000"/>
                <w:sz w:val="22"/>
                <w:szCs w:val="22"/>
              </w:rPr>
            </w:pPr>
          </w:p>
          <w:p w14:paraId="03FD56A4" w14:textId="77777777" w:rsidR="00BA2672" w:rsidRPr="00B51758" w:rsidRDefault="00BA2672" w:rsidP="00BA2672">
            <w:pPr>
              <w:pStyle w:val="04xlpa"/>
              <w:spacing w:before="0" w:beforeAutospacing="0" w:after="0" w:afterAutospacing="0"/>
              <w:rPr>
                <w:rStyle w:val="jsgrdq"/>
                <w:rFonts w:ascii="Arial" w:hAnsi="Arial" w:cs="Arial"/>
                <w:color w:val="000000"/>
                <w:sz w:val="22"/>
                <w:szCs w:val="22"/>
              </w:rPr>
            </w:pPr>
          </w:p>
        </w:tc>
        <w:tc>
          <w:tcPr>
            <w:tcW w:w="4508" w:type="dxa"/>
          </w:tcPr>
          <w:p w14:paraId="28F18116" w14:textId="77777777" w:rsidR="00BA2672" w:rsidRPr="00B51758" w:rsidRDefault="00BA2672" w:rsidP="00BA2672">
            <w:pPr>
              <w:pStyle w:val="04xlpa"/>
              <w:spacing w:before="0" w:beforeAutospacing="0" w:after="240" w:afterAutospacing="0"/>
              <w:rPr>
                <w:rStyle w:val="jsgrdq"/>
                <w:rFonts w:ascii="Arial" w:hAnsi="Arial" w:cs="Arial"/>
                <w:sz w:val="22"/>
                <w:szCs w:val="22"/>
              </w:rPr>
            </w:pPr>
          </w:p>
          <w:p w14:paraId="53F1E29C" w14:textId="77777777" w:rsidR="00BA2672" w:rsidRPr="00B51758" w:rsidRDefault="00BA2672" w:rsidP="00BA2672">
            <w:pPr>
              <w:pStyle w:val="04xlpa"/>
              <w:spacing w:before="0" w:beforeAutospacing="0" w:after="240" w:afterAutospacing="0"/>
              <w:rPr>
                <w:rStyle w:val="jsgrdq"/>
                <w:rFonts w:ascii="Arial" w:hAnsi="Arial" w:cs="Arial"/>
                <w:sz w:val="22"/>
                <w:szCs w:val="22"/>
              </w:rPr>
            </w:pPr>
            <w:r w:rsidRPr="00B51758">
              <w:rPr>
                <w:rStyle w:val="jsgrdq"/>
                <w:rFonts w:ascii="Arial" w:hAnsi="Arial" w:cs="Arial"/>
                <w:sz w:val="22"/>
                <w:szCs w:val="22"/>
              </w:rPr>
              <w:t>The number of lines and call handling agents for our customers to be able to contact us has now been increased.</w:t>
            </w:r>
          </w:p>
          <w:p w14:paraId="018F6EAA" w14:textId="77777777" w:rsidR="00BA2672" w:rsidRPr="00B51758" w:rsidRDefault="00BA2672" w:rsidP="00BA2672">
            <w:pPr>
              <w:pStyle w:val="04xlpa"/>
              <w:spacing w:before="0" w:beforeAutospacing="0" w:after="240" w:afterAutospacing="0"/>
              <w:rPr>
                <w:rStyle w:val="jsgrdq"/>
                <w:rFonts w:ascii="Arial" w:hAnsi="Arial" w:cs="Arial"/>
                <w:sz w:val="22"/>
                <w:szCs w:val="22"/>
              </w:rPr>
            </w:pPr>
            <w:r w:rsidRPr="00B51758">
              <w:rPr>
                <w:rStyle w:val="jsgrdq"/>
                <w:rFonts w:ascii="Arial" w:hAnsi="Arial" w:cs="Arial"/>
                <w:sz w:val="22"/>
                <w:szCs w:val="22"/>
              </w:rPr>
              <w:t>In the event a case worker is not available every attempt will be made to place the call with the case worker supervisor/team manager.  The SEN team supervisors/team managers monitor any messages to ensure the calls are then followed up.</w:t>
            </w:r>
          </w:p>
        </w:tc>
      </w:tr>
    </w:tbl>
    <w:p w14:paraId="7838F90D" w14:textId="77777777" w:rsidR="00AC43BA" w:rsidRPr="00B51758" w:rsidRDefault="00AC43BA" w:rsidP="00BA2672">
      <w:pPr>
        <w:spacing w:after="0"/>
        <w:rPr>
          <w:rFonts w:ascii="Arial" w:hAnsi="Arial" w:cs="Arial"/>
        </w:rPr>
      </w:pPr>
    </w:p>
    <w:sectPr w:rsidR="00AC43BA" w:rsidRPr="00B517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776"/>
    <w:rsid w:val="0014366F"/>
    <w:rsid w:val="00253776"/>
    <w:rsid w:val="002D76CC"/>
    <w:rsid w:val="00375057"/>
    <w:rsid w:val="00391622"/>
    <w:rsid w:val="003B4D49"/>
    <w:rsid w:val="00516B9D"/>
    <w:rsid w:val="0060695E"/>
    <w:rsid w:val="006265B4"/>
    <w:rsid w:val="006D4E91"/>
    <w:rsid w:val="006E62ED"/>
    <w:rsid w:val="00AC43BA"/>
    <w:rsid w:val="00B01BC7"/>
    <w:rsid w:val="00B51758"/>
    <w:rsid w:val="00BA2672"/>
    <w:rsid w:val="00E12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03A1E"/>
  <w15:chartTrackingRefBased/>
  <w15:docId w15:val="{686EA686-2CE6-4E46-A975-2315A5826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xlpa">
    <w:name w:val="_04xlpa"/>
    <w:basedOn w:val="Normal"/>
    <w:rsid w:val="002537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sgrdq">
    <w:name w:val="jsgrdq"/>
    <w:basedOn w:val="DefaultParagraphFont"/>
    <w:rsid w:val="00253776"/>
  </w:style>
  <w:style w:type="table" w:styleId="TableGrid">
    <w:name w:val="Table Grid"/>
    <w:basedOn w:val="TableNormal"/>
    <w:uiPriority w:val="39"/>
    <w:rsid w:val="00253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90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455B6-BE5F-46D8-99D5-3FBB291B9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278</Words>
  <Characters>1588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Hadfield, Claire</dc:creator>
  <cp:keywords/>
  <dc:description/>
  <cp:lastModifiedBy>Watts, Janet</cp:lastModifiedBy>
  <cp:revision>2</cp:revision>
  <dcterms:created xsi:type="dcterms:W3CDTF">2021-04-14T08:54:00Z</dcterms:created>
  <dcterms:modified xsi:type="dcterms:W3CDTF">2021-04-14T08:54:00Z</dcterms:modified>
</cp:coreProperties>
</file>