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2DF17" w14:textId="77777777" w:rsidR="00290A6E" w:rsidRPr="000A6145" w:rsidRDefault="00290A6E" w:rsidP="00290A6E">
      <w:pPr>
        <w:rPr>
          <w:rFonts w:ascii="Arial" w:hAnsi="Arial" w:cs="Arial"/>
          <w:b/>
          <w:sz w:val="24"/>
          <w:szCs w:val="24"/>
        </w:rPr>
      </w:pPr>
      <w:r>
        <w:rPr>
          <w:rFonts w:ascii="Arial" w:hAnsi="Arial" w:cs="Arial"/>
          <w:b/>
          <w:sz w:val="24"/>
          <w:szCs w:val="24"/>
        </w:rPr>
        <w:t>Main points from the E</w:t>
      </w:r>
      <w:r w:rsidRPr="00290A6E">
        <w:rPr>
          <w:rFonts w:ascii="Arial" w:hAnsi="Arial" w:cs="Arial"/>
          <w:b/>
          <w:sz w:val="24"/>
          <w:szCs w:val="24"/>
        </w:rPr>
        <w:t>valuation of the Greater Manchester Nutrition and Hydration Programme:</w:t>
      </w:r>
    </w:p>
    <w:p w14:paraId="40754BF9" w14:textId="77777777" w:rsidR="00290A6E" w:rsidRDefault="00290A6E" w:rsidP="00290A6E">
      <w:pPr>
        <w:rPr>
          <w:rFonts w:ascii="Arial" w:hAnsi="Arial" w:cs="Arial"/>
          <w:sz w:val="24"/>
          <w:szCs w:val="24"/>
        </w:rPr>
      </w:pPr>
      <w:r>
        <w:rPr>
          <w:rFonts w:ascii="Arial" w:hAnsi="Arial" w:cs="Arial"/>
          <w:sz w:val="24"/>
          <w:szCs w:val="24"/>
        </w:rPr>
        <w:t>This is a summary of the</w:t>
      </w:r>
      <w:r w:rsidRPr="00A42C12">
        <w:rPr>
          <w:rFonts w:ascii="Arial" w:hAnsi="Arial" w:cs="Arial"/>
          <w:sz w:val="24"/>
          <w:szCs w:val="24"/>
        </w:rPr>
        <w:t xml:space="preserve"> evaluation into the impact of the Greater Manchester Nutrition and Hydration programme in identifying and preventing malnutrition in older adults. The evaluation is based on data collected at week </w:t>
      </w:r>
      <w:r>
        <w:rPr>
          <w:rFonts w:ascii="Arial" w:hAnsi="Arial" w:cs="Arial"/>
          <w:sz w:val="24"/>
          <w:szCs w:val="24"/>
        </w:rPr>
        <w:t>1</w:t>
      </w:r>
      <w:r w:rsidRPr="00A42C12">
        <w:rPr>
          <w:rFonts w:ascii="Arial" w:hAnsi="Arial" w:cs="Arial"/>
          <w:sz w:val="24"/>
          <w:szCs w:val="24"/>
        </w:rPr>
        <w:t xml:space="preserve"> and week 12 of the research study for </w:t>
      </w:r>
      <w:r>
        <w:rPr>
          <w:rFonts w:ascii="Arial" w:hAnsi="Arial" w:cs="Arial"/>
          <w:sz w:val="24"/>
          <w:szCs w:val="24"/>
        </w:rPr>
        <w:t>67</w:t>
      </w:r>
      <w:r w:rsidRPr="00A42C12">
        <w:rPr>
          <w:rFonts w:ascii="Arial" w:hAnsi="Arial" w:cs="Arial"/>
          <w:sz w:val="24"/>
          <w:szCs w:val="24"/>
        </w:rPr>
        <w:t xml:space="preserve"> parti</w:t>
      </w:r>
      <w:r>
        <w:rPr>
          <w:rFonts w:ascii="Arial" w:hAnsi="Arial" w:cs="Arial"/>
          <w:sz w:val="24"/>
          <w:szCs w:val="24"/>
        </w:rPr>
        <w:t>cipants which shows that 81</w:t>
      </w:r>
      <w:r w:rsidRPr="00A42C12">
        <w:rPr>
          <w:rFonts w:ascii="Arial" w:hAnsi="Arial" w:cs="Arial"/>
          <w:sz w:val="24"/>
          <w:szCs w:val="24"/>
        </w:rPr>
        <w:t>% had a positive response to the intervention in terms of gaining weig</w:t>
      </w:r>
      <w:r>
        <w:rPr>
          <w:rFonts w:ascii="Arial" w:hAnsi="Arial" w:cs="Arial"/>
          <w:sz w:val="24"/>
          <w:szCs w:val="24"/>
        </w:rPr>
        <w:t xml:space="preserve">ht or stopping weight loss. </w:t>
      </w:r>
    </w:p>
    <w:p w14:paraId="6EF06865" w14:textId="77777777" w:rsidR="00290A6E" w:rsidRDefault="00290A6E" w:rsidP="00290A6E">
      <w:pPr>
        <w:rPr>
          <w:rFonts w:ascii="Arial" w:hAnsi="Arial" w:cs="Arial"/>
          <w:sz w:val="24"/>
          <w:szCs w:val="24"/>
        </w:rPr>
      </w:pPr>
      <w:r>
        <w:rPr>
          <w:rFonts w:ascii="Arial" w:hAnsi="Arial" w:cs="Arial"/>
          <w:sz w:val="24"/>
          <w:szCs w:val="24"/>
        </w:rPr>
        <w:t xml:space="preserve">The full </w:t>
      </w:r>
      <w:r w:rsidRPr="00A42C12">
        <w:rPr>
          <w:rFonts w:ascii="Arial" w:hAnsi="Arial" w:cs="Arial"/>
          <w:sz w:val="24"/>
          <w:szCs w:val="24"/>
        </w:rPr>
        <w:t xml:space="preserve">report analyses how participants responded to the intervention and identifies where the programme was more likely to have had a positive outcome in terms of weight gain or maintenance. The report identifies a series of critical success factors for the intervention, the most important of these is the frailty level of the participants, many of whom are living with a significant health condition such as dementia. The other factors such as the participant’s level of social isolation and access to services are shown to have a counterbalancing effect – enabling them to overcome their barriers to nutrition. </w:t>
      </w:r>
    </w:p>
    <w:p w14:paraId="17E1DBD6" w14:textId="77777777" w:rsidR="0032496E" w:rsidRDefault="0032496E" w:rsidP="00290A6E">
      <w:pPr>
        <w:rPr>
          <w:rFonts w:ascii="Arial" w:hAnsi="Arial" w:cs="Arial"/>
          <w:sz w:val="24"/>
          <w:szCs w:val="24"/>
        </w:rPr>
      </w:pPr>
      <w:r>
        <w:rPr>
          <w:rFonts w:ascii="Arial" w:hAnsi="Arial" w:cs="Arial"/>
          <w:sz w:val="24"/>
          <w:szCs w:val="24"/>
        </w:rPr>
        <w:t xml:space="preserve">The second part of the report looks at how the intervention has been adopted and adapted by the programmes partners in local authority, NHS, private and third sector services. It also shows how the programme has started to make an impact to health and social care in the participating localities – Bury, Bolton, Rochdale, </w:t>
      </w:r>
      <w:proofErr w:type="gramStart"/>
      <w:r>
        <w:rPr>
          <w:rFonts w:ascii="Arial" w:hAnsi="Arial" w:cs="Arial"/>
          <w:sz w:val="24"/>
          <w:szCs w:val="24"/>
        </w:rPr>
        <w:t>Oldham</w:t>
      </w:r>
      <w:proofErr w:type="gramEnd"/>
      <w:r>
        <w:rPr>
          <w:rFonts w:ascii="Arial" w:hAnsi="Arial" w:cs="Arial"/>
          <w:sz w:val="24"/>
          <w:szCs w:val="24"/>
        </w:rPr>
        <w:t xml:space="preserve"> and Stockport.</w:t>
      </w:r>
    </w:p>
    <w:p w14:paraId="4EBB5F02" w14:textId="77777777" w:rsidR="00290A6E" w:rsidRPr="00A42C12" w:rsidRDefault="00290A6E" w:rsidP="00290A6E">
      <w:pPr>
        <w:rPr>
          <w:rFonts w:ascii="Arial" w:hAnsi="Arial" w:cs="Arial"/>
          <w:b/>
          <w:sz w:val="24"/>
          <w:szCs w:val="24"/>
        </w:rPr>
      </w:pPr>
      <w:r>
        <w:rPr>
          <w:rFonts w:ascii="Arial" w:hAnsi="Arial" w:cs="Arial"/>
          <w:b/>
          <w:sz w:val="24"/>
          <w:szCs w:val="24"/>
        </w:rPr>
        <w:t>Key findings from the evaluation</w:t>
      </w:r>
      <w:r w:rsidRPr="00A42C12">
        <w:rPr>
          <w:rFonts w:ascii="Arial" w:hAnsi="Arial" w:cs="Arial"/>
          <w:b/>
          <w:sz w:val="24"/>
          <w:szCs w:val="24"/>
        </w:rPr>
        <w:t>:</w:t>
      </w:r>
    </w:p>
    <w:p w14:paraId="0538A766" w14:textId="77777777" w:rsidR="00290A6E" w:rsidRPr="00A42C12" w:rsidRDefault="00290A6E" w:rsidP="00290A6E">
      <w:pPr>
        <w:rPr>
          <w:rFonts w:ascii="Arial" w:hAnsi="Arial" w:cs="Arial"/>
          <w:sz w:val="24"/>
          <w:szCs w:val="24"/>
        </w:rPr>
      </w:pPr>
      <w:r w:rsidRPr="00A42C12">
        <w:rPr>
          <w:rFonts w:ascii="Arial" w:hAnsi="Arial" w:cs="Arial"/>
          <w:b/>
          <w:sz w:val="24"/>
          <w:szCs w:val="24"/>
        </w:rPr>
        <w:t>Key findings 1</w:t>
      </w:r>
      <w:r w:rsidRPr="00A42C12">
        <w:rPr>
          <w:rFonts w:ascii="Arial" w:hAnsi="Arial" w:cs="Arial"/>
          <w:sz w:val="24"/>
          <w:szCs w:val="24"/>
        </w:rPr>
        <w:t>: Identifying malnutrition and providing nutritional advice</w:t>
      </w:r>
      <w:r>
        <w:rPr>
          <w:rFonts w:ascii="Arial" w:hAnsi="Arial" w:cs="Arial"/>
          <w:sz w:val="24"/>
          <w:szCs w:val="24"/>
        </w:rPr>
        <w:t xml:space="preserve"> and signposting,</w:t>
      </w:r>
      <w:r w:rsidRPr="00A42C12">
        <w:rPr>
          <w:rFonts w:ascii="Arial" w:hAnsi="Arial" w:cs="Arial"/>
          <w:sz w:val="24"/>
          <w:szCs w:val="24"/>
        </w:rPr>
        <w:t xml:space="preserve"> helps prevent malnutrition in older adults</w:t>
      </w:r>
      <w:r>
        <w:rPr>
          <w:rFonts w:ascii="Arial" w:hAnsi="Arial" w:cs="Arial"/>
          <w:sz w:val="24"/>
          <w:szCs w:val="24"/>
        </w:rPr>
        <w:t>.</w:t>
      </w:r>
    </w:p>
    <w:p w14:paraId="697A9519" w14:textId="77777777" w:rsidR="00290A6E" w:rsidRPr="00A42C12" w:rsidRDefault="00290A6E" w:rsidP="00290A6E">
      <w:pPr>
        <w:rPr>
          <w:rFonts w:ascii="Arial" w:hAnsi="Arial" w:cs="Arial"/>
          <w:sz w:val="24"/>
          <w:szCs w:val="24"/>
        </w:rPr>
      </w:pPr>
      <w:r w:rsidRPr="00A42C12">
        <w:rPr>
          <w:rFonts w:ascii="Arial" w:hAnsi="Arial" w:cs="Arial"/>
          <w:sz w:val="24"/>
          <w:szCs w:val="24"/>
        </w:rPr>
        <w:t xml:space="preserve">Research suggests that using the </w:t>
      </w:r>
      <w:proofErr w:type="spellStart"/>
      <w:r w:rsidRPr="00A42C12">
        <w:rPr>
          <w:rFonts w:ascii="Arial" w:hAnsi="Arial" w:cs="Arial"/>
          <w:sz w:val="24"/>
          <w:szCs w:val="24"/>
        </w:rPr>
        <w:t>PaperWeight</w:t>
      </w:r>
      <w:proofErr w:type="spellEnd"/>
      <w:r w:rsidRPr="00A42C12">
        <w:rPr>
          <w:rFonts w:ascii="Arial" w:hAnsi="Arial" w:cs="Arial"/>
          <w:sz w:val="24"/>
          <w:szCs w:val="24"/>
        </w:rPr>
        <w:t xml:space="preserve"> Armband</w:t>
      </w:r>
      <w:r w:rsidRPr="00A42C12">
        <w:rPr>
          <w:rFonts w:ascii="Arial" w:hAnsi="Arial" w:cs="Arial"/>
          <w:bCs/>
          <w:sz w:val="24"/>
          <w:szCs w:val="24"/>
          <w:vertAlign w:val="superscript"/>
        </w:rPr>
        <w:t>©</w:t>
      </w:r>
      <w:r w:rsidRPr="00A42C12">
        <w:rPr>
          <w:rFonts w:ascii="Arial" w:hAnsi="Arial" w:cs="Arial"/>
          <w:sz w:val="24"/>
          <w:szCs w:val="24"/>
        </w:rPr>
        <w:t xml:space="preserve"> with the other materials in the GM Nutri</w:t>
      </w:r>
      <w:r w:rsidR="00DE6ED2">
        <w:rPr>
          <w:rFonts w:ascii="Arial" w:hAnsi="Arial" w:cs="Arial"/>
          <w:sz w:val="24"/>
          <w:szCs w:val="24"/>
        </w:rPr>
        <w:t>tion and Hydration Programme has</w:t>
      </w:r>
      <w:r w:rsidRPr="00A42C12">
        <w:rPr>
          <w:rFonts w:ascii="Arial" w:hAnsi="Arial" w:cs="Arial"/>
          <w:sz w:val="24"/>
          <w:szCs w:val="24"/>
        </w:rPr>
        <w:t xml:space="preserve"> a made a positive difference in terms of weight gain or weight maintenance</w:t>
      </w:r>
      <w:r>
        <w:rPr>
          <w:rFonts w:ascii="Arial" w:hAnsi="Arial" w:cs="Arial"/>
          <w:sz w:val="24"/>
          <w:szCs w:val="24"/>
        </w:rPr>
        <w:t xml:space="preserve">. Small changes in diet have also been shown to be effective in enabling participants to gain weight. </w:t>
      </w:r>
    </w:p>
    <w:p w14:paraId="1EB6BDE5" w14:textId="77777777" w:rsidR="00290A6E" w:rsidRDefault="00290A6E" w:rsidP="00290A6E">
      <w:pPr>
        <w:rPr>
          <w:rFonts w:ascii="Arial" w:hAnsi="Arial" w:cs="Arial"/>
          <w:sz w:val="24"/>
          <w:szCs w:val="24"/>
        </w:rPr>
      </w:pPr>
      <w:r w:rsidRPr="00A42C12">
        <w:rPr>
          <w:rFonts w:ascii="Arial" w:hAnsi="Arial" w:cs="Arial"/>
          <w:b/>
          <w:sz w:val="24"/>
          <w:szCs w:val="24"/>
        </w:rPr>
        <w:t>Key finding 2:</w:t>
      </w:r>
      <w:r w:rsidRPr="00A42C12">
        <w:rPr>
          <w:rFonts w:ascii="Arial" w:hAnsi="Arial" w:cs="Arial"/>
          <w:sz w:val="24"/>
          <w:szCs w:val="24"/>
        </w:rPr>
        <w:t xml:space="preserve"> Clinical frailty </w:t>
      </w:r>
      <w:r>
        <w:rPr>
          <w:rFonts w:ascii="Arial" w:hAnsi="Arial" w:cs="Arial"/>
          <w:sz w:val="24"/>
          <w:szCs w:val="24"/>
        </w:rPr>
        <w:t>has emerged as a significant factor</w:t>
      </w:r>
      <w:r w:rsidRPr="00A42C12">
        <w:rPr>
          <w:rFonts w:ascii="Arial" w:hAnsi="Arial" w:cs="Arial"/>
          <w:sz w:val="24"/>
          <w:szCs w:val="24"/>
        </w:rPr>
        <w:t xml:space="preserve"> in </w:t>
      </w:r>
      <w:r>
        <w:rPr>
          <w:rFonts w:ascii="Arial" w:hAnsi="Arial" w:cs="Arial"/>
          <w:sz w:val="24"/>
          <w:szCs w:val="24"/>
        </w:rPr>
        <w:t xml:space="preserve">malnutrition among older adults </w:t>
      </w:r>
      <w:r w:rsidRPr="00A42C12">
        <w:rPr>
          <w:rFonts w:ascii="Arial" w:hAnsi="Arial" w:cs="Arial"/>
          <w:sz w:val="24"/>
          <w:szCs w:val="24"/>
        </w:rPr>
        <w:t xml:space="preserve">and </w:t>
      </w:r>
      <w:r>
        <w:rPr>
          <w:rFonts w:ascii="Arial" w:hAnsi="Arial" w:cs="Arial"/>
          <w:sz w:val="24"/>
          <w:szCs w:val="24"/>
        </w:rPr>
        <w:t xml:space="preserve">is itself a barrier to </w:t>
      </w:r>
      <w:r w:rsidRPr="00A42C12">
        <w:rPr>
          <w:rFonts w:ascii="Arial" w:hAnsi="Arial" w:cs="Arial"/>
          <w:sz w:val="24"/>
          <w:szCs w:val="24"/>
        </w:rPr>
        <w:t>nutrition</w:t>
      </w:r>
      <w:r>
        <w:rPr>
          <w:rFonts w:ascii="Arial" w:hAnsi="Arial" w:cs="Arial"/>
          <w:sz w:val="24"/>
          <w:szCs w:val="24"/>
        </w:rPr>
        <w:t xml:space="preserve"> and hydration.</w:t>
      </w:r>
    </w:p>
    <w:p w14:paraId="639FBD8D" w14:textId="77777777" w:rsidR="00290A6E" w:rsidRDefault="00290A6E" w:rsidP="00290A6E">
      <w:pPr>
        <w:rPr>
          <w:rFonts w:ascii="Arial" w:hAnsi="Arial" w:cs="Arial"/>
          <w:sz w:val="24"/>
          <w:szCs w:val="24"/>
        </w:rPr>
      </w:pPr>
      <w:r w:rsidRPr="001410D9">
        <w:rPr>
          <w:rFonts w:ascii="Arial" w:hAnsi="Arial" w:cs="Arial"/>
          <w:sz w:val="24"/>
          <w:szCs w:val="24"/>
        </w:rPr>
        <w:t>The intervention has shown positive out</w:t>
      </w:r>
      <w:r>
        <w:rPr>
          <w:rFonts w:ascii="Arial" w:hAnsi="Arial" w:cs="Arial"/>
          <w:sz w:val="24"/>
          <w:szCs w:val="24"/>
        </w:rPr>
        <w:t>comes across all frailty levels.</w:t>
      </w:r>
      <w:r w:rsidRPr="005475D3">
        <w:t xml:space="preserve"> </w:t>
      </w:r>
      <w:r>
        <w:rPr>
          <w:rFonts w:ascii="Arial" w:hAnsi="Arial" w:cs="Arial"/>
          <w:sz w:val="24"/>
          <w:szCs w:val="24"/>
        </w:rPr>
        <w:t xml:space="preserve">In </w:t>
      </w:r>
      <w:proofErr w:type="gramStart"/>
      <w:r>
        <w:rPr>
          <w:rFonts w:ascii="Arial" w:hAnsi="Arial" w:cs="Arial"/>
          <w:sz w:val="24"/>
          <w:szCs w:val="24"/>
        </w:rPr>
        <w:t>fact</w:t>
      </w:r>
      <w:proofErr w:type="gramEnd"/>
      <w:r>
        <w:rPr>
          <w:rFonts w:ascii="Arial" w:hAnsi="Arial" w:cs="Arial"/>
          <w:sz w:val="24"/>
          <w:szCs w:val="24"/>
        </w:rPr>
        <w:t xml:space="preserve"> </w:t>
      </w:r>
      <w:r w:rsidRPr="005475D3">
        <w:rPr>
          <w:rFonts w:ascii="Arial" w:hAnsi="Arial" w:cs="Arial"/>
          <w:sz w:val="24"/>
          <w:szCs w:val="24"/>
        </w:rPr>
        <w:t xml:space="preserve">from the sample, people with a </w:t>
      </w:r>
      <w:r>
        <w:rPr>
          <w:rFonts w:ascii="Arial" w:hAnsi="Arial" w:cs="Arial"/>
          <w:sz w:val="24"/>
          <w:szCs w:val="24"/>
        </w:rPr>
        <w:t>Rockwood</w:t>
      </w:r>
      <w:r w:rsidRPr="005475D3">
        <w:rPr>
          <w:rFonts w:ascii="Arial" w:hAnsi="Arial" w:cs="Arial"/>
          <w:sz w:val="24"/>
          <w:szCs w:val="24"/>
          <w:vertAlign w:val="superscript"/>
        </w:rPr>
        <w:t>©</w:t>
      </w:r>
      <w:r>
        <w:rPr>
          <w:rFonts w:ascii="Arial" w:hAnsi="Arial" w:cs="Arial"/>
          <w:sz w:val="24"/>
          <w:szCs w:val="24"/>
        </w:rPr>
        <w:t xml:space="preserve"> frailty rating</w:t>
      </w:r>
      <w:r w:rsidRPr="005475D3">
        <w:rPr>
          <w:rFonts w:ascii="Arial" w:hAnsi="Arial" w:cs="Arial"/>
          <w:sz w:val="24"/>
          <w:szCs w:val="24"/>
        </w:rPr>
        <w:t xml:space="preserve"> of 1-3 (</w:t>
      </w:r>
      <w:r>
        <w:rPr>
          <w:rFonts w:ascii="Arial" w:hAnsi="Arial" w:cs="Arial"/>
          <w:sz w:val="24"/>
          <w:szCs w:val="24"/>
        </w:rPr>
        <w:t>Very F</w:t>
      </w:r>
      <w:r w:rsidRPr="005475D3">
        <w:rPr>
          <w:rFonts w:ascii="Arial" w:hAnsi="Arial" w:cs="Arial"/>
          <w:sz w:val="24"/>
          <w:szCs w:val="24"/>
        </w:rPr>
        <w:t>it, Well or Managing W</w:t>
      </w:r>
      <w:r>
        <w:rPr>
          <w:rFonts w:ascii="Arial" w:hAnsi="Arial" w:cs="Arial"/>
          <w:sz w:val="24"/>
          <w:szCs w:val="24"/>
        </w:rPr>
        <w:t xml:space="preserve">ell) had </w:t>
      </w:r>
      <w:r w:rsidRPr="00F342E4">
        <w:rPr>
          <w:rFonts w:ascii="Arial" w:hAnsi="Arial" w:cs="Arial"/>
          <w:b/>
          <w:sz w:val="24"/>
          <w:szCs w:val="24"/>
        </w:rPr>
        <w:t>100%</w:t>
      </w:r>
      <w:r>
        <w:rPr>
          <w:rFonts w:ascii="Arial" w:hAnsi="Arial" w:cs="Arial"/>
          <w:sz w:val="24"/>
          <w:szCs w:val="24"/>
        </w:rPr>
        <w:t xml:space="preserve"> positive outcomes</w:t>
      </w:r>
      <w:r w:rsidRPr="005475D3">
        <w:rPr>
          <w:rFonts w:ascii="Arial" w:hAnsi="Arial" w:cs="Arial"/>
          <w:sz w:val="24"/>
          <w:szCs w:val="24"/>
        </w:rPr>
        <w:t>.</w:t>
      </w:r>
    </w:p>
    <w:p w14:paraId="0237AF61" w14:textId="77777777" w:rsidR="00290A6E" w:rsidRPr="00A42C12" w:rsidRDefault="00290A6E" w:rsidP="00290A6E">
      <w:pPr>
        <w:rPr>
          <w:rFonts w:ascii="Arial" w:hAnsi="Arial" w:cs="Arial"/>
          <w:sz w:val="24"/>
          <w:szCs w:val="24"/>
        </w:rPr>
      </w:pPr>
      <w:r w:rsidRPr="00A42C12">
        <w:rPr>
          <w:rFonts w:ascii="Arial" w:hAnsi="Arial" w:cs="Arial"/>
          <w:b/>
          <w:sz w:val="24"/>
          <w:szCs w:val="24"/>
        </w:rPr>
        <w:t>Key finding 3:</w:t>
      </w:r>
      <w:r>
        <w:rPr>
          <w:rFonts w:ascii="Arial" w:hAnsi="Arial" w:cs="Arial"/>
          <w:sz w:val="24"/>
          <w:szCs w:val="24"/>
        </w:rPr>
        <w:t xml:space="preserve"> Social connectivity</w:t>
      </w:r>
      <w:r w:rsidRPr="00A42C12">
        <w:rPr>
          <w:rFonts w:ascii="Arial" w:hAnsi="Arial" w:cs="Arial"/>
          <w:sz w:val="24"/>
          <w:szCs w:val="24"/>
        </w:rPr>
        <w:t xml:space="preserve"> is a key factor in overcoming frailty and preventing malnutrition in older adults</w:t>
      </w:r>
      <w:r>
        <w:rPr>
          <w:rFonts w:ascii="Arial" w:hAnsi="Arial" w:cs="Arial"/>
          <w:sz w:val="24"/>
          <w:szCs w:val="24"/>
        </w:rPr>
        <w:t>.</w:t>
      </w:r>
    </w:p>
    <w:p w14:paraId="2D4FD7F5" w14:textId="77777777" w:rsidR="00290A6E" w:rsidRDefault="00290A6E" w:rsidP="00290A6E">
      <w:pPr>
        <w:rPr>
          <w:rFonts w:ascii="Arial" w:hAnsi="Arial" w:cs="Arial"/>
          <w:sz w:val="24"/>
          <w:szCs w:val="24"/>
        </w:rPr>
      </w:pPr>
      <w:r w:rsidRPr="00A42C12">
        <w:rPr>
          <w:rFonts w:ascii="Arial" w:hAnsi="Arial" w:cs="Arial"/>
          <w:sz w:val="24"/>
          <w:szCs w:val="24"/>
        </w:rPr>
        <w:t>Evidence suggests that attending lunch clubs, social activities or having a good network of family and friends has a significant impact on your ability to overcome barriers to nutrition including higher frailty levels</w:t>
      </w:r>
      <w:r>
        <w:rPr>
          <w:rFonts w:ascii="Arial" w:hAnsi="Arial" w:cs="Arial"/>
          <w:sz w:val="24"/>
          <w:szCs w:val="24"/>
        </w:rPr>
        <w:t>.</w:t>
      </w:r>
    </w:p>
    <w:p w14:paraId="6B1CA2ED" w14:textId="77777777" w:rsidR="00290A6E" w:rsidRPr="00A42C12" w:rsidRDefault="00290A6E" w:rsidP="00290A6E">
      <w:pPr>
        <w:rPr>
          <w:rFonts w:ascii="Arial" w:hAnsi="Arial" w:cs="Arial"/>
          <w:sz w:val="24"/>
          <w:szCs w:val="24"/>
        </w:rPr>
      </w:pPr>
      <w:r w:rsidRPr="006B41C3">
        <w:rPr>
          <w:rFonts w:ascii="Arial" w:hAnsi="Arial" w:cs="Arial"/>
          <w:b/>
          <w:sz w:val="24"/>
          <w:szCs w:val="24"/>
        </w:rPr>
        <w:t>Key finding 4:</w:t>
      </w:r>
      <w:r>
        <w:rPr>
          <w:rFonts w:ascii="Arial" w:hAnsi="Arial" w:cs="Arial"/>
          <w:sz w:val="24"/>
          <w:szCs w:val="24"/>
        </w:rPr>
        <w:t xml:space="preserve"> Living conditions in terms of the type of housing an older adult is living in, has a significant impact on their health and nutrition. In the study, </w:t>
      </w:r>
      <w:r w:rsidRPr="00F342E4">
        <w:rPr>
          <w:rFonts w:ascii="Arial" w:hAnsi="Arial" w:cs="Arial"/>
          <w:b/>
          <w:sz w:val="24"/>
          <w:szCs w:val="24"/>
        </w:rPr>
        <w:t>100%</w:t>
      </w:r>
      <w:r>
        <w:rPr>
          <w:rFonts w:ascii="Arial" w:hAnsi="Arial" w:cs="Arial"/>
          <w:sz w:val="24"/>
          <w:szCs w:val="24"/>
        </w:rPr>
        <w:t xml:space="preserve"> of the participants</w:t>
      </w:r>
      <w:r w:rsidRPr="005475D3">
        <w:rPr>
          <w:rFonts w:ascii="Arial" w:hAnsi="Arial" w:cs="Arial"/>
          <w:sz w:val="24"/>
          <w:szCs w:val="24"/>
        </w:rPr>
        <w:t xml:space="preserve"> in extra care s</w:t>
      </w:r>
      <w:r>
        <w:rPr>
          <w:rFonts w:ascii="Arial" w:hAnsi="Arial" w:cs="Arial"/>
          <w:sz w:val="24"/>
          <w:szCs w:val="24"/>
        </w:rPr>
        <w:t xml:space="preserve">chemes and </w:t>
      </w:r>
      <w:r w:rsidRPr="00F342E4">
        <w:rPr>
          <w:rFonts w:ascii="Arial" w:hAnsi="Arial" w:cs="Arial"/>
          <w:b/>
          <w:sz w:val="24"/>
          <w:szCs w:val="24"/>
        </w:rPr>
        <w:t>92%</w:t>
      </w:r>
      <w:r>
        <w:rPr>
          <w:rFonts w:ascii="Arial" w:hAnsi="Arial" w:cs="Arial"/>
          <w:sz w:val="24"/>
          <w:szCs w:val="24"/>
        </w:rPr>
        <w:t xml:space="preserve"> of people </w:t>
      </w:r>
      <w:r w:rsidRPr="005475D3">
        <w:rPr>
          <w:rFonts w:ascii="Arial" w:hAnsi="Arial" w:cs="Arial"/>
          <w:sz w:val="24"/>
          <w:szCs w:val="24"/>
        </w:rPr>
        <w:t>in sheltered accommodation</w:t>
      </w:r>
      <w:r>
        <w:rPr>
          <w:rFonts w:ascii="Arial" w:hAnsi="Arial" w:cs="Arial"/>
          <w:sz w:val="24"/>
          <w:szCs w:val="24"/>
        </w:rPr>
        <w:t xml:space="preserve"> had </w:t>
      </w:r>
      <w:r w:rsidRPr="005475D3">
        <w:rPr>
          <w:rFonts w:ascii="Arial" w:hAnsi="Arial" w:cs="Arial"/>
          <w:sz w:val="24"/>
          <w:szCs w:val="24"/>
        </w:rPr>
        <w:t>positive outcome</w:t>
      </w:r>
      <w:r>
        <w:rPr>
          <w:rFonts w:ascii="Arial" w:hAnsi="Arial" w:cs="Arial"/>
          <w:sz w:val="24"/>
          <w:szCs w:val="24"/>
        </w:rPr>
        <w:t>s</w:t>
      </w:r>
      <w:r w:rsidRPr="005475D3">
        <w:rPr>
          <w:rFonts w:ascii="Arial" w:hAnsi="Arial" w:cs="Arial"/>
          <w:sz w:val="24"/>
          <w:szCs w:val="24"/>
        </w:rPr>
        <w:t>.</w:t>
      </w:r>
    </w:p>
    <w:p w14:paraId="44A35589" w14:textId="77777777" w:rsidR="00290A6E" w:rsidRPr="00A42C12" w:rsidRDefault="00290A6E" w:rsidP="00290A6E">
      <w:pPr>
        <w:rPr>
          <w:rFonts w:ascii="Arial" w:hAnsi="Arial" w:cs="Arial"/>
          <w:b/>
          <w:sz w:val="24"/>
          <w:szCs w:val="24"/>
        </w:rPr>
      </w:pPr>
      <w:r w:rsidRPr="00A42C12">
        <w:rPr>
          <w:rFonts w:ascii="Arial" w:hAnsi="Arial" w:cs="Arial"/>
          <w:b/>
          <w:sz w:val="24"/>
          <w:szCs w:val="24"/>
        </w:rPr>
        <w:lastRenderedPageBreak/>
        <w:t xml:space="preserve">Key points from the evaluation: </w:t>
      </w:r>
    </w:p>
    <w:p w14:paraId="491530ED" w14:textId="77777777" w:rsidR="00290A6E" w:rsidRPr="00A42C12" w:rsidRDefault="00290A6E" w:rsidP="00290A6E">
      <w:pPr>
        <w:pStyle w:val="ListParagraph"/>
        <w:numPr>
          <w:ilvl w:val="0"/>
          <w:numId w:val="1"/>
        </w:numPr>
        <w:rPr>
          <w:rFonts w:ascii="Arial" w:hAnsi="Arial" w:cs="Arial"/>
          <w:sz w:val="24"/>
          <w:szCs w:val="24"/>
        </w:rPr>
      </w:pPr>
      <w:r w:rsidRPr="00A42C12">
        <w:rPr>
          <w:rFonts w:ascii="Arial" w:hAnsi="Arial" w:cs="Arial"/>
          <w:sz w:val="24"/>
          <w:szCs w:val="24"/>
        </w:rPr>
        <w:t xml:space="preserve">Recruited 83 participants, 75% of these are women and 30% are aged 85 or over – eldest is 99  </w:t>
      </w:r>
    </w:p>
    <w:p w14:paraId="4D02CADD" w14:textId="77777777" w:rsidR="00290A6E" w:rsidRPr="00A42C12" w:rsidRDefault="00290A6E" w:rsidP="00290A6E">
      <w:pPr>
        <w:pStyle w:val="ListParagraph"/>
        <w:numPr>
          <w:ilvl w:val="0"/>
          <w:numId w:val="1"/>
        </w:numPr>
        <w:rPr>
          <w:rFonts w:ascii="Arial" w:hAnsi="Arial" w:cs="Arial"/>
          <w:sz w:val="24"/>
          <w:szCs w:val="24"/>
        </w:rPr>
      </w:pPr>
      <w:r>
        <w:rPr>
          <w:rFonts w:ascii="Arial" w:hAnsi="Arial" w:cs="Arial"/>
          <w:sz w:val="24"/>
          <w:szCs w:val="24"/>
        </w:rPr>
        <w:t>The median weight was 48.3kg (range from 31.8kg-72kg)</w:t>
      </w:r>
    </w:p>
    <w:p w14:paraId="7F2D6728" w14:textId="77777777" w:rsidR="00290A6E" w:rsidRPr="00A42C12" w:rsidRDefault="00290A6E" w:rsidP="00290A6E">
      <w:pPr>
        <w:pStyle w:val="ListParagraph"/>
        <w:numPr>
          <w:ilvl w:val="0"/>
          <w:numId w:val="1"/>
        </w:numPr>
        <w:rPr>
          <w:rFonts w:ascii="Arial" w:hAnsi="Arial" w:cs="Arial"/>
          <w:sz w:val="24"/>
          <w:szCs w:val="24"/>
        </w:rPr>
      </w:pPr>
      <w:r>
        <w:rPr>
          <w:rFonts w:ascii="Arial" w:hAnsi="Arial" w:cs="Arial"/>
          <w:sz w:val="24"/>
          <w:szCs w:val="24"/>
        </w:rPr>
        <w:t>67</w:t>
      </w:r>
      <w:r w:rsidRPr="00A42C12">
        <w:rPr>
          <w:rFonts w:ascii="Arial" w:hAnsi="Arial" w:cs="Arial"/>
          <w:sz w:val="24"/>
          <w:szCs w:val="24"/>
        </w:rPr>
        <w:t xml:space="preserve"> recruits have been followed up for 12-week revi</w:t>
      </w:r>
      <w:r>
        <w:rPr>
          <w:rFonts w:ascii="Arial" w:hAnsi="Arial" w:cs="Arial"/>
          <w:sz w:val="24"/>
          <w:szCs w:val="24"/>
        </w:rPr>
        <w:t xml:space="preserve">ew of these </w:t>
      </w:r>
      <w:r w:rsidR="00DE6ED2">
        <w:rPr>
          <w:rFonts w:ascii="Arial" w:hAnsi="Arial" w:cs="Arial"/>
          <w:b/>
          <w:sz w:val="24"/>
          <w:szCs w:val="24"/>
        </w:rPr>
        <w:t>81</w:t>
      </w:r>
      <w:r w:rsidRPr="00F342E4">
        <w:rPr>
          <w:rFonts w:ascii="Arial" w:hAnsi="Arial" w:cs="Arial"/>
          <w:b/>
          <w:sz w:val="24"/>
          <w:szCs w:val="24"/>
        </w:rPr>
        <w:t>%</w:t>
      </w:r>
      <w:r>
        <w:rPr>
          <w:rFonts w:ascii="Arial" w:hAnsi="Arial" w:cs="Arial"/>
          <w:sz w:val="24"/>
          <w:szCs w:val="24"/>
        </w:rPr>
        <w:t xml:space="preserve"> (n54)</w:t>
      </w:r>
      <w:r w:rsidRPr="00A42C12">
        <w:rPr>
          <w:rFonts w:ascii="Arial" w:hAnsi="Arial" w:cs="Arial"/>
          <w:sz w:val="24"/>
          <w:szCs w:val="24"/>
        </w:rPr>
        <w:t xml:space="preserve"> have had a positiv</w:t>
      </w:r>
      <w:r>
        <w:rPr>
          <w:rFonts w:ascii="Arial" w:hAnsi="Arial" w:cs="Arial"/>
          <w:sz w:val="24"/>
          <w:szCs w:val="24"/>
        </w:rPr>
        <w:t xml:space="preserve">e outcome, </w:t>
      </w:r>
      <w:r w:rsidRPr="00A42C12">
        <w:rPr>
          <w:rFonts w:ascii="Arial" w:hAnsi="Arial" w:cs="Arial"/>
          <w:sz w:val="24"/>
          <w:szCs w:val="24"/>
        </w:rPr>
        <w:t>recording either weight gain</w:t>
      </w:r>
      <w:r>
        <w:rPr>
          <w:rFonts w:ascii="Arial" w:hAnsi="Arial" w:cs="Arial"/>
          <w:sz w:val="24"/>
          <w:szCs w:val="24"/>
        </w:rPr>
        <w:t xml:space="preserve"> (65.7%)</w:t>
      </w:r>
      <w:r w:rsidRPr="00A42C12">
        <w:rPr>
          <w:rFonts w:ascii="Arial" w:hAnsi="Arial" w:cs="Arial"/>
          <w:sz w:val="24"/>
          <w:szCs w:val="24"/>
        </w:rPr>
        <w:t xml:space="preserve"> or </w:t>
      </w:r>
      <w:r>
        <w:rPr>
          <w:rFonts w:ascii="Arial" w:hAnsi="Arial" w:cs="Arial"/>
          <w:sz w:val="24"/>
          <w:szCs w:val="24"/>
        </w:rPr>
        <w:t>no weight loss (14.9%) at 12 weeks</w:t>
      </w:r>
    </w:p>
    <w:p w14:paraId="0BDB78CC" w14:textId="77777777" w:rsidR="00290A6E" w:rsidRDefault="00290A6E" w:rsidP="00290A6E">
      <w:pPr>
        <w:pStyle w:val="ListParagraph"/>
        <w:numPr>
          <w:ilvl w:val="0"/>
          <w:numId w:val="1"/>
        </w:numPr>
        <w:rPr>
          <w:rFonts w:ascii="Arial" w:hAnsi="Arial" w:cs="Arial"/>
          <w:sz w:val="24"/>
          <w:szCs w:val="24"/>
          <w:lang w:eastAsia="en-GB"/>
        </w:rPr>
      </w:pPr>
      <w:r>
        <w:rPr>
          <w:rFonts w:ascii="Arial" w:hAnsi="Arial" w:cs="Arial"/>
          <w:sz w:val="24"/>
          <w:szCs w:val="24"/>
          <w:lang w:eastAsia="en-GB"/>
        </w:rPr>
        <w:t>In total 44 have gained weight at 12 weeks and the mean weight gain is</w:t>
      </w:r>
      <w:r w:rsidRPr="00A42C12">
        <w:rPr>
          <w:rFonts w:ascii="Arial" w:hAnsi="Arial" w:cs="Arial"/>
          <w:sz w:val="24"/>
          <w:szCs w:val="24"/>
          <w:lang w:eastAsia="en-GB"/>
        </w:rPr>
        <w:t xml:space="preserve"> </w:t>
      </w:r>
      <w:r>
        <w:rPr>
          <w:rFonts w:ascii="Arial" w:hAnsi="Arial" w:cs="Arial"/>
          <w:sz w:val="24"/>
          <w:szCs w:val="24"/>
          <w:lang w:eastAsia="en-GB"/>
        </w:rPr>
        <w:t>2.1</w:t>
      </w:r>
      <w:r w:rsidRPr="00595B72">
        <w:rPr>
          <w:rFonts w:ascii="Arial" w:hAnsi="Arial" w:cs="Arial"/>
          <w:sz w:val="24"/>
          <w:szCs w:val="24"/>
          <w:lang w:eastAsia="en-GB"/>
        </w:rPr>
        <w:t>kg</w:t>
      </w:r>
    </w:p>
    <w:p w14:paraId="7DB5E8F9" w14:textId="77777777" w:rsidR="00290A6E" w:rsidRPr="00A42C12" w:rsidRDefault="00290A6E" w:rsidP="00290A6E">
      <w:pPr>
        <w:pStyle w:val="ListParagraph"/>
        <w:numPr>
          <w:ilvl w:val="0"/>
          <w:numId w:val="1"/>
        </w:numPr>
        <w:rPr>
          <w:rFonts w:ascii="Arial" w:hAnsi="Arial" w:cs="Arial"/>
          <w:sz w:val="24"/>
          <w:szCs w:val="24"/>
        </w:rPr>
      </w:pPr>
      <w:r w:rsidRPr="00A42C12">
        <w:rPr>
          <w:rFonts w:ascii="Arial" w:hAnsi="Arial" w:cs="Arial"/>
          <w:sz w:val="24"/>
          <w:szCs w:val="24"/>
        </w:rPr>
        <w:t>Frailty scores range from 1 to 8; 34</w:t>
      </w:r>
      <w:r>
        <w:rPr>
          <w:rFonts w:ascii="Arial" w:hAnsi="Arial" w:cs="Arial"/>
          <w:sz w:val="24"/>
          <w:szCs w:val="24"/>
        </w:rPr>
        <w:t xml:space="preserve"> (41%)</w:t>
      </w:r>
      <w:r w:rsidRPr="00A42C12">
        <w:rPr>
          <w:rFonts w:ascii="Arial" w:hAnsi="Arial" w:cs="Arial"/>
          <w:sz w:val="24"/>
          <w:szCs w:val="24"/>
        </w:rPr>
        <w:t xml:space="preserve"> had a frailty rating of 6 or above</w:t>
      </w:r>
    </w:p>
    <w:p w14:paraId="46B78182" w14:textId="77777777" w:rsidR="00290A6E" w:rsidRPr="00A42C12" w:rsidRDefault="00290A6E" w:rsidP="00290A6E">
      <w:pPr>
        <w:pStyle w:val="ListParagraph"/>
        <w:numPr>
          <w:ilvl w:val="0"/>
          <w:numId w:val="1"/>
        </w:numPr>
        <w:rPr>
          <w:rFonts w:ascii="Arial" w:hAnsi="Arial" w:cs="Arial"/>
          <w:sz w:val="24"/>
          <w:szCs w:val="24"/>
        </w:rPr>
      </w:pPr>
      <w:r w:rsidRPr="00A42C12">
        <w:rPr>
          <w:rFonts w:ascii="Arial" w:hAnsi="Arial" w:cs="Arial"/>
          <w:sz w:val="24"/>
          <w:szCs w:val="24"/>
        </w:rPr>
        <w:t>Those with frailty levels of 5 or below were more likely to have a positive response to the intervention</w:t>
      </w:r>
    </w:p>
    <w:p w14:paraId="08F0252E" w14:textId="77777777" w:rsidR="00290A6E" w:rsidRDefault="00290A6E" w:rsidP="00290A6E">
      <w:pPr>
        <w:pStyle w:val="ListParagraph"/>
        <w:numPr>
          <w:ilvl w:val="0"/>
          <w:numId w:val="1"/>
        </w:numPr>
        <w:rPr>
          <w:rFonts w:ascii="Arial" w:hAnsi="Arial" w:cs="Arial"/>
          <w:sz w:val="24"/>
          <w:szCs w:val="24"/>
        </w:rPr>
      </w:pPr>
      <w:r w:rsidRPr="00A42C12">
        <w:rPr>
          <w:rFonts w:ascii="Arial" w:hAnsi="Arial" w:cs="Arial"/>
          <w:sz w:val="24"/>
          <w:szCs w:val="24"/>
        </w:rPr>
        <w:t>Cost Benefit Analysis for the programme used an assumption that 30% of people engaged would have a positive outcome</w:t>
      </w:r>
      <w:r>
        <w:rPr>
          <w:rFonts w:ascii="Arial" w:hAnsi="Arial" w:cs="Arial"/>
          <w:sz w:val="24"/>
          <w:szCs w:val="24"/>
        </w:rPr>
        <w:t xml:space="preserve"> and this will need to be revised to </w:t>
      </w:r>
      <w:r w:rsidR="00DE6ED2">
        <w:rPr>
          <w:rFonts w:ascii="Arial" w:hAnsi="Arial" w:cs="Arial"/>
          <w:b/>
          <w:sz w:val="24"/>
          <w:szCs w:val="24"/>
        </w:rPr>
        <w:t>81</w:t>
      </w:r>
      <w:r w:rsidRPr="00F342E4">
        <w:rPr>
          <w:rFonts w:ascii="Arial" w:hAnsi="Arial" w:cs="Arial"/>
          <w:b/>
          <w:sz w:val="24"/>
          <w:szCs w:val="24"/>
        </w:rPr>
        <w:t>%</w:t>
      </w:r>
      <w:r>
        <w:rPr>
          <w:rFonts w:ascii="Arial" w:hAnsi="Arial" w:cs="Arial"/>
          <w:sz w:val="24"/>
          <w:szCs w:val="24"/>
        </w:rPr>
        <w:t xml:space="preserve"> based on the evaluation’s findings</w:t>
      </w:r>
    </w:p>
    <w:p w14:paraId="7FCF1E17" w14:textId="77777777" w:rsidR="00354374" w:rsidRPr="00354374" w:rsidRDefault="00354374" w:rsidP="00354374">
      <w:pPr>
        <w:spacing w:after="0"/>
        <w:rPr>
          <w:rFonts w:ascii="Arial" w:eastAsia="Times New Roman" w:hAnsi="Arial" w:cs="Arial"/>
          <w:b/>
          <w:bCs/>
          <w:sz w:val="24"/>
          <w:szCs w:val="24"/>
        </w:rPr>
      </w:pPr>
      <w:r w:rsidRPr="00354374">
        <w:rPr>
          <w:rFonts w:ascii="Arial" w:eastAsia="Times New Roman" w:hAnsi="Arial" w:cs="Arial"/>
          <w:b/>
          <w:bCs/>
          <w:sz w:val="24"/>
          <w:szCs w:val="24"/>
        </w:rPr>
        <w:t>Recommendations for further development</w:t>
      </w:r>
      <w:r>
        <w:rPr>
          <w:rFonts w:ascii="Arial" w:eastAsia="Times New Roman" w:hAnsi="Arial" w:cs="Arial"/>
          <w:b/>
          <w:bCs/>
          <w:sz w:val="24"/>
          <w:szCs w:val="24"/>
        </w:rPr>
        <w:t>:</w:t>
      </w:r>
    </w:p>
    <w:p w14:paraId="47C24407" w14:textId="77777777" w:rsidR="00354374" w:rsidRPr="00354374" w:rsidRDefault="00354374" w:rsidP="00354374">
      <w:pPr>
        <w:spacing w:after="0"/>
        <w:rPr>
          <w:rFonts w:ascii="Arial" w:eastAsia="Times New Roman" w:hAnsi="Arial" w:cs="Arial"/>
          <w:bCs/>
          <w:sz w:val="24"/>
          <w:szCs w:val="24"/>
        </w:rPr>
      </w:pPr>
      <w:r w:rsidRPr="00354374">
        <w:rPr>
          <w:rFonts w:ascii="Arial" w:eastAsia="Times New Roman" w:hAnsi="Arial" w:cs="Arial"/>
          <w:bCs/>
          <w:sz w:val="24"/>
          <w:szCs w:val="24"/>
        </w:rPr>
        <w:t>Based on the findings from the evaluation the following areas should be targeted as potentially the most rewarding for refining and embedding the intervention across Greater Manchester:</w:t>
      </w:r>
    </w:p>
    <w:p w14:paraId="02B89B23" w14:textId="77777777" w:rsidR="00354374" w:rsidRPr="00354374" w:rsidRDefault="00354374" w:rsidP="00354374">
      <w:pPr>
        <w:spacing w:after="0"/>
        <w:rPr>
          <w:rFonts w:ascii="Arial" w:eastAsia="Times New Roman" w:hAnsi="Arial" w:cs="Arial"/>
          <w:bCs/>
          <w:sz w:val="24"/>
          <w:szCs w:val="24"/>
        </w:rPr>
      </w:pPr>
    </w:p>
    <w:p w14:paraId="7F2431FA" w14:textId="77777777" w:rsidR="00354374" w:rsidRPr="00354374" w:rsidRDefault="00354374" w:rsidP="00354374">
      <w:pPr>
        <w:numPr>
          <w:ilvl w:val="0"/>
          <w:numId w:val="3"/>
        </w:numPr>
        <w:spacing w:after="0" w:line="240" w:lineRule="auto"/>
        <w:contextualSpacing/>
        <w:rPr>
          <w:rFonts w:ascii="Arial" w:eastAsia="Times New Roman" w:hAnsi="Arial" w:cs="Arial"/>
          <w:bCs/>
          <w:sz w:val="24"/>
          <w:szCs w:val="24"/>
        </w:rPr>
      </w:pPr>
      <w:r w:rsidRPr="00354374">
        <w:rPr>
          <w:rFonts w:ascii="Arial" w:eastAsia="Times New Roman" w:hAnsi="Arial" w:cs="Arial"/>
          <w:bCs/>
          <w:sz w:val="24"/>
          <w:szCs w:val="24"/>
        </w:rPr>
        <w:t>How the benefit to the participants can be sustained</w:t>
      </w:r>
    </w:p>
    <w:p w14:paraId="2A9E40BB" w14:textId="77777777" w:rsidR="00354374" w:rsidRPr="00354374" w:rsidRDefault="00354374" w:rsidP="00354374">
      <w:pPr>
        <w:spacing w:after="0" w:line="240" w:lineRule="auto"/>
        <w:ind w:left="1440"/>
        <w:contextualSpacing/>
        <w:rPr>
          <w:rFonts w:ascii="Arial" w:eastAsia="Times New Roman" w:hAnsi="Arial" w:cs="Arial"/>
          <w:bCs/>
          <w:sz w:val="24"/>
          <w:szCs w:val="24"/>
        </w:rPr>
      </w:pPr>
    </w:p>
    <w:p w14:paraId="1426088C" w14:textId="77777777" w:rsidR="00354374" w:rsidRPr="00354374" w:rsidRDefault="00354374" w:rsidP="00354374">
      <w:pPr>
        <w:numPr>
          <w:ilvl w:val="0"/>
          <w:numId w:val="3"/>
        </w:numPr>
        <w:spacing w:after="0" w:line="240" w:lineRule="auto"/>
        <w:contextualSpacing/>
        <w:rPr>
          <w:rFonts w:ascii="Arial" w:eastAsia="Times New Roman" w:hAnsi="Arial" w:cs="Arial"/>
          <w:bCs/>
          <w:sz w:val="24"/>
          <w:szCs w:val="24"/>
        </w:rPr>
      </w:pPr>
      <w:r w:rsidRPr="00354374">
        <w:rPr>
          <w:rFonts w:ascii="Arial" w:eastAsia="Times New Roman" w:hAnsi="Arial" w:cs="Arial"/>
          <w:bCs/>
          <w:sz w:val="24"/>
          <w:szCs w:val="24"/>
        </w:rPr>
        <w:t>How partners can integrate and embed the intervention into their own services</w:t>
      </w:r>
    </w:p>
    <w:p w14:paraId="1222A8B2" w14:textId="77777777" w:rsidR="00354374" w:rsidRPr="00354374" w:rsidRDefault="00354374" w:rsidP="00354374">
      <w:pPr>
        <w:spacing w:after="0" w:line="240" w:lineRule="auto"/>
        <w:ind w:left="1440"/>
        <w:contextualSpacing/>
        <w:rPr>
          <w:rFonts w:ascii="Arial" w:eastAsia="Times New Roman" w:hAnsi="Arial" w:cs="Arial"/>
          <w:bCs/>
          <w:sz w:val="24"/>
          <w:szCs w:val="24"/>
        </w:rPr>
      </w:pPr>
    </w:p>
    <w:p w14:paraId="56AE733A" w14:textId="77777777" w:rsidR="00354374" w:rsidRPr="00354374" w:rsidRDefault="00354374" w:rsidP="00354374">
      <w:pPr>
        <w:numPr>
          <w:ilvl w:val="0"/>
          <w:numId w:val="3"/>
        </w:numPr>
        <w:spacing w:after="0" w:line="240" w:lineRule="auto"/>
        <w:contextualSpacing/>
        <w:rPr>
          <w:rFonts w:ascii="Arial" w:eastAsia="Times New Roman" w:hAnsi="Arial" w:cs="Arial"/>
          <w:bCs/>
          <w:sz w:val="24"/>
          <w:szCs w:val="24"/>
        </w:rPr>
      </w:pPr>
      <w:r w:rsidRPr="00354374">
        <w:rPr>
          <w:rFonts w:ascii="Arial" w:eastAsia="Times New Roman" w:hAnsi="Arial" w:cs="Arial"/>
          <w:bCs/>
          <w:sz w:val="24"/>
          <w:szCs w:val="24"/>
        </w:rPr>
        <w:t xml:space="preserve">How dependent are the partners on the Age UK Programme Manager for the intervention’s </w:t>
      </w:r>
      <w:proofErr w:type="gramStart"/>
      <w:r w:rsidRPr="00354374">
        <w:rPr>
          <w:rFonts w:ascii="Arial" w:eastAsia="Times New Roman" w:hAnsi="Arial" w:cs="Arial"/>
          <w:bCs/>
          <w:sz w:val="24"/>
          <w:szCs w:val="24"/>
        </w:rPr>
        <w:t>success</w:t>
      </w:r>
      <w:proofErr w:type="gramEnd"/>
    </w:p>
    <w:p w14:paraId="7D876B9B" w14:textId="77777777" w:rsidR="00354374" w:rsidRPr="00354374" w:rsidRDefault="00354374" w:rsidP="00354374">
      <w:pPr>
        <w:spacing w:after="0" w:line="240" w:lineRule="auto"/>
        <w:ind w:left="1440"/>
        <w:contextualSpacing/>
        <w:rPr>
          <w:rFonts w:ascii="Arial" w:eastAsia="Times New Roman" w:hAnsi="Arial" w:cs="Arial"/>
          <w:bCs/>
          <w:sz w:val="24"/>
          <w:szCs w:val="24"/>
        </w:rPr>
      </w:pPr>
    </w:p>
    <w:p w14:paraId="4F381CF5" w14:textId="77777777" w:rsidR="00354374" w:rsidRDefault="00354374" w:rsidP="00354374">
      <w:pPr>
        <w:numPr>
          <w:ilvl w:val="0"/>
          <w:numId w:val="3"/>
        </w:numPr>
        <w:spacing w:after="0" w:line="240" w:lineRule="auto"/>
        <w:contextualSpacing/>
        <w:rPr>
          <w:rFonts w:ascii="Arial" w:eastAsia="Times New Roman" w:hAnsi="Arial" w:cs="Arial"/>
          <w:bCs/>
          <w:sz w:val="24"/>
          <w:szCs w:val="24"/>
        </w:rPr>
      </w:pPr>
      <w:r w:rsidRPr="00354374">
        <w:rPr>
          <w:rFonts w:ascii="Arial" w:eastAsia="Times New Roman" w:hAnsi="Arial" w:cs="Arial"/>
          <w:bCs/>
          <w:sz w:val="24"/>
          <w:szCs w:val="24"/>
        </w:rPr>
        <w:t xml:space="preserve">How can the </w:t>
      </w:r>
      <w:proofErr w:type="spellStart"/>
      <w:r w:rsidRPr="00354374">
        <w:rPr>
          <w:rFonts w:ascii="Arial" w:eastAsia="Times New Roman" w:hAnsi="Arial" w:cs="Arial"/>
          <w:bCs/>
          <w:sz w:val="24"/>
          <w:szCs w:val="24"/>
        </w:rPr>
        <w:t>PaperWeight</w:t>
      </w:r>
      <w:proofErr w:type="spellEnd"/>
      <w:r w:rsidRPr="00354374">
        <w:rPr>
          <w:rFonts w:ascii="Arial" w:eastAsia="Times New Roman" w:hAnsi="Arial" w:cs="Arial"/>
          <w:bCs/>
          <w:sz w:val="24"/>
          <w:szCs w:val="24"/>
        </w:rPr>
        <w:t xml:space="preserve"> Armband</w:t>
      </w:r>
      <w:r w:rsidRPr="00354374">
        <w:rPr>
          <w:rFonts w:ascii="Arial" w:hAnsi="Arial" w:cs="Arial"/>
          <w:bCs/>
          <w:sz w:val="24"/>
          <w:szCs w:val="24"/>
          <w:vertAlign w:val="superscript"/>
        </w:rPr>
        <w:t>©</w:t>
      </w:r>
      <w:r w:rsidRPr="00354374">
        <w:rPr>
          <w:rFonts w:ascii="Arial" w:eastAsia="Times New Roman" w:hAnsi="Arial" w:cs="Arial"/>
          <w:bCs/>
          <w:sz w:val="24"/>
          <w:szCs w:val="24"/>
        </w:rPr>
        <w:t xml:space="preserve"> be developed as a tool for signposting issues around weight and </w:t>
      </w:r>
      <w:proofErr w:type="gramStart"/>
      <w:r w:rsidRPr="00354374">
        <w:rPr>
          <w:rFonts w:ascii="Arial" w:eastAsia="Times New Roman" w:hAnsi="Arial" w:cs="Arial"/>
          <w:bCs/>
          <w:sz w:val="24"/>
          <w:szCs w:val="24"/>
        </w:rPr>
        <w:t>malnutrition</w:t>
      </w:r>
      <w:proofErr w:type="gramEnd"/>
    </w:p>
    <w:p w14:paraId="36BBC263" w14:textId="77777777" w:rsidR="00354374" w:rsidRDefault="00354374" w:rsidP="00354374">
      <w:pPr>
        <w:pStyle w:val="ListParagraph"/>
        <w:rPr>
          <w:rFonts w:ascii="Arial" w:eastAsia="Times New Roman" w:hAnsi="Arial" w:cs="Arial"/>
          <w:bCs/>
          <w:sz w:val="24"/>
          <w:szCs w:val="24"/>
        </w:rPr>
      </w:pPr>
    </w:p>
    <w:p w14:paraId="5C1D3292" w14:textId="632C568E" w:rsidR="00354374" w:rsidRPr="00354374" w:rsidRDefault="00354374" w:rsidP="00354374">
      <w:pPr>
        <w:spacing w:after="0" w:line="240" w:lineRule="auto"/>
        <w:contextualSpacing/>
        <w:rPr>
          <w:rFonts w:ascii="Arial" w:eastAsia="Times New Roman" w:hAnsi="Arial" w:cs="Arial"/>
          <w:bCs/>
          <w:sz w:val="24"/>
          <w:szCs w:val="24"/>
        </w:rPr>
      </w:pPr>
      <w:r>
        <w:rPr>
          <w:rFonts w:ascii="Arial" w:eastAsia="Times New Roman" w:hAnsi="Arial" w:cs="Arial"/>
          <w:bCs/>
          <w:sz w:val="24"/>
          <w:szCs w:val="24"/>
        </w:rPr>
        <w:t>For more on the evaluation including case studies on the participants who took part in the evaluation and interviews with the programme managers see the final report at</w:t>
      </w:r>
      <w:r w:rsidR="002E0D2B">
        <w:rPr>
          <w:rFonts w:ascii="Arial" w:eastAsia="Times New Roman" w:hAnsi="Arial" w:cs="Arial"/>
          <w:bCs/>
          <w:sz w:val="24"/>
          <w:szCs w:val="24"/>
        </w:rPr>
        <w:t>:</w:t>
      </w:r>
      <w:r>
        <w:rPr>
          <w:rFonts w:ascii="Arial" w:eastAsia="Times New Roman" w:hAnsi="Arial" w:cs="Arial"/>
          <w:bCs/>
          <w:sz w:val="24"/>
          <w:szCs w:val="24"/>
        </w:rPr>
        <w:t xml:space="preserve"> </w:t>
      </w:r>
      <w:hyperlink r:id="rId10" w:history="1">
        <w:r w:rsidR="0009270B" w:rsidRPr="0065752A">
          <w:rPr>
            <w:rStyle w:val="Hyperlink"/>
            <w:rFonts w:ascii="Arial" w:eastAsia="Times New Roman" w:hAnsi="Arial" w:cs="Arial"/>
            <w:bCs/>
            <w:sz w:val="24"/>
            <w:szCs w:val="24"/>
          </w:rPr>
          <w:t>https://www.ageuk.org.uk/salford/about-us/improving-nutrition-and-hydration/</w:t>
        </w:r>
      </w:hyperlink>
      <w:r w:rsidR="0009270B">
        <w:rPr>
          <w:rFonts w:ascii="Arial" w:eastAsia="Times New Roman" w:hAnsi="Arial" w:cs="Arial"/>
          <w:bCs/>
          <w:sz w:val="24"/>
          <w:szCs w:val="24"/>
        </w:rPr>
        <w:t xml:space="preserve"> </w:t>
      </w:r>
    </w:p>
    <w:p w14:paraId="6729E660" w14:textId="77777777" w:rsidR="00C712A9" w:rsidRDefault="00C712A9"/>
    <w:sectPr w:rsidR="00C712A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0EA3D" w14:textId="77777777" w:rsidR="0009270B" w:rsidRDefault="0009270B" w:rsidP="00290A6E">
      <w:pPr>
        <w:spacing w:after="0" w:line="240" w:lineRule="auto"/>
      </w:pPr>
      <w:r>
        <w:separator/>
      </w:r>
    </w:p>
  </w:endnote>
  <w:endnote w:type="continuationSeparator" w:id="0">
    <w:p w14:paraId="7CB6733D" w14:textId="77777777" w:rsidR="0009270B" w:rsidRDefault="0009270B" w:rsidP="00290A6E">
      <w:pPr>
        <w:spacing w:after="0" w:line="240" w:lineRule="auto"/>
      </w:pPr>
      <w:r>
        <w:continuationSeparator/>
      </w:r>
    </w:p>
  </w:endnote>
  <w:endnote w:type="continuationNotice" w:id="1">
    <w:p w14:paraId="0EA68499" w14:textId="77777777" w:rsidR="00D96AB5" w:rsidRDefault="00D96A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7567612"/>
      <w:docPartObj>
        <w:docPartGallery w:val="Page Numbers (Bottom of Page)"/>
        <w:docPartUnique/>
      </w:docPartObj>
    </w:sdtPr>
    <w:sdtEndPr>
      <w:rPr>
        <w:noProof/>
      </w:rPr>
    </w:sdtEndPr>
    <w:sdtContent>
      <w:p w14:paraId="31B5A625" w14:textId="77777777" w:rsidR="0009270B" w:rsidRDefault="000927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B3A412" w14:textId="77777777" w:rsidR="0009270B" w:rsidRDefault="00092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B595B" w14:textId="77777777" w:rsidR="0009270B" w:rsidRDefault="0009270B" w:rsidP="00290A6E">
      <w:pPr>
        <w:spacing w:after="0" w:line="240" w:lineRule="auto"/>
      </w:pPr>
      <w:r>
        <w:separator/>
      </w:r>
    </w:p>
  </w:footnote>
  <w:footnote w:type="continuationSeparator" w:id="0">
    <w:p w14:paraId="04C95A63" w14:textId="77777777" w:rsidR="0009270B" w:rsidRDefault="0009270B" w:rsidP="00290A6E">
      <w:pPr>
        <w:spacing w:after="0" w:line="240" w:lineRule="auto"/>
      </w:pPr>
      <w:r>
        <w:continuationSeparator/>
      </w:r>
    </w:p>
  </w:footnote>
  <w:footnote w:type="continuationNotice" w:id="1">
    <w:p w14:paraId="321FB76C" w14:textId="77777777" w:rsidR="00D96AB5" w:rsidRDefault="00D96AB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008F9"/>
    <w:multiLevelType w:val="hybridMultilevel"/>
    <w:tmpl w:val="E970F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BE0AAF"/>
    <w:multiLevelType w:val="hybridMultilevel"/>
    <w:tmpl w:val="3AE488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E20C5D"/>
    <w:multiLevelType w:val="hybridMultilevel"/>
    <w:tmpl w:val="6E82ED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A6E"/>
    <w:rsid w:val="0009270B"/>
    <w:rsid w:val="000D0786"/>
    <w:rsid w:val="001C2E8D"/>
    <w:rsid w:val="00290A6E"/>
    <w:rsid w:val="002E0D2B"/>
    <w:rsid w:val="0032496E"/>
    <w:rsid w:val="00354374"/>
    <w:rsid w:val="00781CFF"/>
    <w:rsid w:val="009A6929"/>
    <w:rsid w:val="00C712A9"/>
    <w:rsid w:val="00D72DC6"/>
    <w:rsid w:val="00D96AB5"/>
    <w:rsid w:val="00DE6ED2"/>
    <w:rsid w:val="00E91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A6436"/>
  <w15:chartTrackingRefBased/>
  <w15:docId w15:val="{69949B34-1A3E-40DB-BCFA-9D5A1D9E6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A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A6E"/>
    <w:pPr>
      <w:spacing w:after="200" w:line="276" w:lineRule="auto"/>
      <w:ind w:left="720"/>
      <w:contextualSpacing/>
    </w:pPr>
  </w:style>
  <w:style w:type="paragraph" w:styleId="Header">
    <w:name w:val="header"/>
    <w:basedOn w:val="Normal"/>
    <w:link w:val="HeaderChar"/>
    <w:uiPriority w:val="99"/>
    <w:unhideWhenUsed/>
    <w:rsid w:val="00290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A6E"/>
  </w:style>
  <w:style w:type="paragraph" w:styleId="Footer">
    <w:name w:val="footer"/>
    <w:basedOn w:val="Normal"/>
    <w:link w:val="FooterChar"/>
    <w:uiPriority w:val="99"/>
    <w:unhideWhenUsed/>
    <w:rsid w:val="00290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A6E"/>
  </w:style>
  <w:style w:type="character" w:styleId="Hyperlink">
    <w:name w:val="Hyperlink"/>
    <w:basedOn w:val="DefaultParagraphFont"/>
    <w:uiPriority w:val="99"/>
    <w:unhideWhenUsed/>
    <w:rsid w:val="0009270B"/>
    <w:rPr>
      <w:color w:val="0563C1" w:themeColor="hyperlink"/>
      <w:u w:val="single"/>
    </w:rPr>
  </w:style>
  <w:style w:type="character" w:styleId="UnresolvedMention">
    <w:name w:val="Unresolved Mention"/>
    <w:basedOn w:val="DefaultParagraphFont"/>
    <w:uiPriority w:val="99"/>
    <w:semiHidden/>
    <w:unhideWhenUsed/>
    <w:rsid w:val="000927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ageuk.org.uk/salford/about-us/improving-nutrition-and-hydration/"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9B6D96CA3E8A4EA6264127CAE1E098" ma:contentTypeVersion="15" ma:contentTypeDescription="Create a new document." ma:contentTypeScope="" ma:versionID="a182cd5f030ec5efd82f52bec7a2757a">
  <xsd:schema xmlns:xsd="http://www.w3.org/2001/XMLSchema" xmlns:xs="http://www.w3.org/2001/XMLSchema" xmlns:p="http://schemas.microsoft.com/office/2006/metadata/properties" xmlns:ns2="4ad4d7b2-7045-4ea9-a938-49be9e853746" xmlns:ns3="fda73c0f-03a0-411e-a79f-292674d7878d" targetNamespace="http://schemas.microsoft.com/office/2006/metadata/properties" ma:root="true" ma:fieldsID="a913f1e3cd7c01383c1015098ff282f7" ns2:_="" ns3:_="">
    <xsd:import namespace="4ad4d7b2-7045-4ea9-a938-49be9e853746"/>
    <xsd:import namespace="fda73c0f-03a0-411e-a79f-292674d7878d"/>
    <xsd:element name="properties">
      <xsd:complexType>
        <xsd:sequence>
          <xsd:element name="documentManagement">
            <xsd:complexType>
              <xsd:all>
                <xsd:element ref="ns2:Exchequer"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4d7b2-7045-4ea9-a938-49be9e853746" elementFormDefault="qualified">
    <xsd:import namespace="http://schemas.microsoft.com/office/2006/documentManagement/types"/>
    <xsd:import namespace="http://schemas.microsoft.com/office/infopath/2007/PartnerControls"/>
    <xsd:element name="Exchequer" ma:index="2" nillable="true" ma:displayName="Exchequer" ma:default="1" ma:format="Dropdown" ma:internalName="Exchequer"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Location" ma:index="12" nillable="true" ma:displayName="Location" ma:hidden="true" ma:internalName="MediaServiceLocation"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a73c0f-03a0-411e-a79f-292674d7878d"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xchequer xmlns="4ad4d7b2-7045-4ea9-a938-49be9e853746">true</Exchequ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0FAB90-2E71-48BC-BEF7-2297CE463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d4d7b2-7045-4ea9-a938-49be9e853746"/>
    <ds:schemaRef ds:uri="fda73c0f-03a0-411e-a79f-292674d78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DF89C3-C936-44C3-B0C2-1926EF683E93}">
  <ds:schemaRefs>
    <ds:schemaRef ds:uri="http://schemas.microsoft.com/office/2006/metadata/properties"/>
    <ds:schemaRef ds:uri="http://schemas.microsoft.com/office/infopath/2007/PartnerControls"/>
    <ds:schemaRef ds:uri="4ad4d7b2-7045-4ea9-a938-49be9e853746"/>
  </ds:schemaRefs>
</ds:datastoreItem>
</file>

<file path=customXml/itemProps3.xml><?xml version="1.0" encoding="utf-8"?>
<ds:datastoreItem xmlns:ds="http://schemas.openxmlformats.org/officeDocument/2006/customXml" ds:itemID="{053E7B08-4F30-4D8B-824C-1E5AD52AB5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Edwards</dc:creator>
  <cp:keywords/>
  <dc:description/>
  <cp:lastModifiedBy>Wood, Shannon</cp:lastModifiedBy>
  <cp:revision>2</cp:revision>
  <dcterms:created xsi:type="dcterms:W3CDTF">2022-01-12T12:25:00Z</dcterms:created>
  <dcterms:modified xsi:type="dcterms:W3CDTF">2022-01-12T12:25:00Z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0x0101000E9B6D96CA3E8A4EA6264127CAE1E098</vt:lpwstr>
  </property>
</Properties>
</file>