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FA36" w14:textId="77777777" w:rsidR="00201D8D" w:rsidRDefault="00201D8D">
      <w:pPr>
        <w:rPr>
          <w:rFonts w:ascii="Arial" w:hAnsi="Arial" w:cs="Arial"/>
        </w:rPr>
      </w:pPr>
    </w:p>
    <w:p w14:paraId="78EBD13E" w14:textId="77777777" w:rsidR="00E76D29" w:rsidRDefault="00E76D29">
      <w:pPr>
        <w:rPr>
          <w:rFonts w:ascii="Verdana" w:hAnsi="Verdana" w:cs="Arial"/>
          <w:b/>
        </w:rPr>
      </w:pPr>
    </w:p>
    <w:p w14:paraId="09C73063" w14:textId="77777777" w:rsidR="00E76D29" w:rsidRDefault="00E76D29">
      <w:pPr>
        <w:rPr>
          <w:rFonts w:ascii="Verdana" w:hAnsi="Verdana" w:cs="Arial"/>
          <w:b/>
        </w:rPr>
      </w:pPr>
    </w:p>
    <w:p w14:paraId="3997F8FE" w14:textId="77777777" w:rsidR="00E76D29" w:rsidRPr="00984607" w:rsidRDefault="00E76D29">
      <w:pPr>
        <w:rPr>
          <w:rFonts w:ascii="Verdana" w:hAnsi="Verdana" w:cs="Arial"/>
          <w:caps/>
          <w:sz w:val="22"/>
          <w:szCs w:val="22"/>
        </w:rPr>
      </w:pPr>
      <w:r w:rsidRPr="00984607">
        <w:rPr>
          <w:rFonts w:ascii="Verdana" w:hAnsi="Verdana" w:cs="Arial"/>
          <w:caps/>
          <w:sz w:val="22"/>
          <w:szCs w:val="22"/>
        </w:rPr>
        <w:t>Contents</w:t>
      </w:r>
      <w:r w:rsidR="00F84723" w:rsidRPr="00F84723">
        <w:rPr>
          <w:rFonts w:ascii="Verdana" w:hAnsi="Verdana" w:cs="Arial"/>
          <w:caps/>
          <w:noProof/>
          <w:sz w:val="22"/>
          <w:szCs w:val="22"/>
        </w:rPr>
        <w:drawing>
          <wp:anchor distT="0" distB="0" distL="114300" distR="114300" simplePos="0" relativeHeight="251659264" behindDoc="0" locked="0" layoutInCell="1" allowOverlap="1" wp14:anchorId="4362A9A1" wp14:editId="3B1265EC">
            <wp:simplePos x="0" y="0"/>
            <wp:positionH relativeFrom="column">
              <wp:posOffset>5099685</wp:posOffset>
            </wp:positionH>
            <wp:positionV relativeFrom="paragraph">
              <wp:posOffset>-1398905</wp:posOffset>
            </wp:positionV>
            <wp:extent cx="1466850" cy="1257300"/>
            <wp:effectExtent l="19050" t="0" r="0" b="0"/>
            <wp:wrapThrough wrapText="bothSides">
              <wp:wrapPolygon edited="0">
                <wp:start x="-281" y="0"/>
                <wp:lineTo x="-281" y="21273"/>
                <wp:lineTo x="21600" y="21273"/>
                <wp:lineTo x="21600" y="0"/>
                <wp:lineTo x="-281" y="0"/>
              </wp:wrapPolygon>
            </wp:wrapThrough>
            <wp:docPr id="1" name="Picture 1" descr="buryLogo"/>
            <wp:cNvGraphicFramePr/>
            <a:graphic xmlns:a="http://schemas.openxmlformats.org/drawingml/2006/main">
              <a:graphicData uri="http://schemas.openxmlformats.org/drawingml/2006/picture">
                <pic:pic xmlns:pic="http://schemas.openxmlformats.org/drawingml/2006/picture">
                  <pic:nvPicPr>
                    <pic:cNvPr id="1038" name="Picture 1" descr="buryLogo"/>
                    <pic:cNvPicPr>
                      <a:picLocks noChangeAspect="1" noChangeArrowheads="1"/>
                    </pic:cNvPicPr>
                  </pic:nvPicPr>
                  <pic:blipFill>
                    <a:blip r:embed="rId7" cstate="print"/>
                    <a:srcRect/>
                    <a:stretch>
                      <a:fillRect/>
                    </a:stretch>
                  </pic:blipFill>
                  <pic:spPr bwMode="auto">
                    <a:xfrm>
                      <a:off x="0" y="0"/>
                      <a:ext cx="1466850" cy="1257300"/>
                    </a:xfrm>
                    <a:prstGeom prst="rect">
                      <a:avLst/>
                    </a:prstGeom>
                    <a:noFill/>
                    <a:ln w="9525">
                      <a:noFill/>
                      <a:miter lim="800000"/>
                      <a:headEnd/>
                      <a:tailEnd/>
                    </a:ln>
                  </pic:spPr>
                </pic:pic>
              </a:graphicData>
            </a:graphic>
          </wp:anchor>
        </w:drawing>
      </w:r>
    </w:p>
    <w:p w14:paraId="1637F680" w14:textId="2AD81730" w:rsidR="00E76D29" w:rsidRDefault="00E76D29">
      <w:pPr>
        <w:rPr>
          <w:rFonts w:ascii="Verdana" w:hAnsi="Verdana" w:cs="Arial"/>
          <w:sz w:val="22"/>
          <w:szCs w:val="22"/>
        </w:rPr>
      </w:pPr>
    </w:p>
    <w:p w14:paraId="3EFE6753" w14:textId="40CEC1A8" w:rsidR="000819BC" w:rsidRDefault="000819BC">
      <w:pPr>
        <w:rPr>
          <w:rFonts w:ascii="Verdana" w:hAnsi="Verdana" w:cs="Arial"/>
          <w:sz w:val="22"/>
          <w:szCs w:val="22"/>
        </w:rPr>
      </w:pPr>
    </w:p>
    <w:p w14:paraId="56E81017" w14:textId="1FBE15D4" w:rsidR="000819BC" w:rsidRDefault="000819BC">
      <w:pPr>
        <w:rPr>
          <w:rFonts w:ascii="Verdana" w:hAnsi="Verdana" w:cs="Arial"/>
          <w:sz w:val="22"/>
          <w:szCs w:val="22"/>
        </w:rPr>
      </w:pPr>
    </w:p>
    <w:p w14:paraId="5A5826D4" w14:textId="02D6716E" w:rsidR="000819BC" w:rsidRDefault="000819BC">
      <w:pPr>
        <w:rPr>
          <w:rFonts w:ascii="Verdana" w:hAnsi="Verdana" w:cs="Arial"/>
          <w:sz w:val="22"/>
          <w:szCs w:val="22"/>
        </w:rPr>
      </w:pPr>
    </w:p>
    <w:p w14:paraId="77CA3757" w14:textId="23B9EF28" w:rsidR="000819BC" w:rsidRDefault="000819BC">
      <w:pPr>
        <w:rPr>
          <w:rFonts w:ascii="Verdana" w:hAnsi="Verdana" w:cs="Arial"/>
          <w:sz w:val="22"/>
          <w:szCs w:val="22"/>
        </w:rPr>
      </w:pPr>
    </w:p>
    <w:p w14:paraId="2F18A753" w14:textId="5FD7F42A" w:rsidR="000819BC" w:rsidRDefault="000819BC">
      <w:pPr>
        <w:rPr>
          <w:rFonts w:ascii="Verdana" w:hAnsi="Verdana" w:cs="Arial"/>
          <w:sz w:val="22"/>
          <w:szCs w:val="22"/>
        </w:rPr>
      </w:pPr>
    </w:p>
    <w:p w14:paraId="7ABEE75D" w14:textId="08BEE183" w:rsidR="000819BC" w:rsidRDefault="000819BC">
      <w:pPr>
        <w:rPr>
          <w:rFonts w:ascii="Verdana" w:hAnsi="Verdana" w:cs="Arial"/>
          <w:sz w:val="22"/>
          <w:szCs w:val="22"/>
        </w:rPr>
      </w:pPr>
    </w:p>
    <w:p w14:paraId="1DDE027C" w14:textId="77777777" w:rsidR="000819BC" w:rsidRDefault="000819BC">
      <w:pPr>
        <w:rPr>
          <w:rFonts w:ascii="Verdana" w:hAnsi="Verdana" w:cs="Arial"/>
          <w:sz w:val="22"/>
          <w:szCs w:val="22"/>
        </w:rPr>
      </w:pPr>
    </w:p>
    <w:tbl>
      <w:tblPr>
        <w:tblStyle w:val="TableGrid"/>
        <w:tblW w:w="8926" w:type="dxa"/>
        <w:tblLook w:val="01E0" w:firstRow="1" w:lastRow="1" w:firstColumn="1" w:lastColumn="1" w:noHBand="0" w:noVBand="0"/>
      </w:tblPr>
      <w:tblGrid>
        <w:gridCol w:w="1308"/>
        <w:gridCol w:w="4357"/>
        <w:gridCol w:w="3261"/>
      </w:tblGrid>
      <w:tr w:rsidR="000819BC" w:rsidRPr="000819BC" w14:paraId="10D551BB" w14:textId="77777777" w:rsidTr="000819BC">
        <w:tc>
          <w:tcPr>
            <w:tcW w:w="1308" w:type="dxa"/>
          </w:tcPr>
          <w:p w14:paraId="7BF85840"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Section</w:t>
            </w:r>
          </w:p>
        </w:tc>
        <w:tc>
          <w:tcPr>
            <w:tcW w:w="4357" w:type="dxa"/>
          </w:tcPr>
          <w:p w14:paraId="015E8198"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Title</w:t>
            </w:r>
          </w:p>
        </w:tc>
        <w:tc>
          <w:tcPr>
            <w:tcW w:w="3261" w:type="dxa"/>
          </w:tcPr>
          <w:p w14:paraId="219E5EE4"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Subject</w:t>
            </w:r>
          </w:p>
        </w:tc>
      </w:tr>
      <w:tr w:rsidR="000819BC" w:rsidRPr="000819BC" w14:paraId="3A841401" w14:textId="77777777" w:rsidTr="000819BC">
        <w:tc>
          <w:tcPr>
            <w:tcW w:w="1308" w:type="dxa"/>
          </w:tcPr>
          <w:p w14:paraId="62AD3698"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1</w:t>
            </w:r>
          </w:p>
        </w:tc>
        <w:tc>
          <w:tcPr>
            <w:tcW w:w="4357" w:type="dxa"/>
          </w:tcPr>
          <w:p w14:paraId="2A143FE2"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Introduction</w:t>
            </w:r>
          </w:p>
        </w:tc>
        <w:tc>
          <w:tcPr>
            <w:tcW w:w="3261" w:type="dxa"/>
          </w:tcPr>
          <w:p w14:paraId="65E392B2" w14:textId="77777777" w:rsidR="000819BC" w:rsidRPr="000819BC" w:rsidRDefault="000819BC" w:rsidP="00E76D29">
            <w:pPr>
              <w:jc w:val="center"/>
              <w:rPr>
                <w:rFonts w:ascii="Verdana" w:hAnsi="Verdana" w:cs="Arial"/>
                <w:bCs/>
                <w:sz w:val="22"/>
                <w:szCs w:val="22"/>
              </w:rPr>
            </w:pPr>
          </w:p>
        </w:tc>
      </w:tr>
      <w:tr w:rsidR="000819BC" w:rsidRPr="000819BC" w14:paraId="2FE9380F" w14:textId="77777777" w:rsidTr="000819BC">
        <w:tc>
          <w:tcPr>
            <w:tcW w:w="1308" w:type="dxa"/>
          </w:tcPr>
          <w:p w14:paraId="780039DC"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2</w:t>
            </w:r>
          </w:p>
        </w:tc>
        <w:tc>
          <w:tcPr>
            <w:tcW w:w="4357" w:type="dxa"/>
          </w:tcPr>
          <w:p w14:paraId="3BB8A269"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Funding</w:t>
            </w:r>
          </w:p>
        </w:tc>
        <w:tc>
          <w:tcPr>
            <w:tcW w:w="3261" w:type="dxa"/>
          </w:tcPr>
          <w:p w14:paraId="353B68CB"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2.1</w:t>
            </w:r>
          </w:p>
        </w:tc>
      </w:tr>
      <w:tr w:rsidR="000819BC" w:rsidRPr="000819BC" w14:paraId="6D08F515" w14:textId="77777777" w:rsidTr="000819BC">
        <w:tc>
          <w:tcPr>
            <w:tcW w:w="1308" w:type="dxa"/>
          </w:tcPr>
          <w:p w14:paraId="21185C03" w14:textId="77777777" w:rsidR="000819BC" w:rsidRPr="000819BC" w:rsidRDefault="000819BC" w:rsidP="00E76D29">
            <w:pPr>
              <w:jc w:val="center"/>
              <w:rPr>
                <w:rFonts w:ascii="Verdana" w:hAnsi="Verdana" w:cs="Arial"/>
                <w:bCs/>
                <w:sz w:val="22"/>
                <w:szCs w:val="22"/>
              </w:rPr>
            </w:pPr>
          </w:p>
        </w:tc>
        <w:tc>
          <w:tcPr>
            <w:tcW w:w="4357" w:type="dxa"/>
          </w:tcPr>
          <w:p w14:paraId="3E8E9A49" w14:textId="77777777" w:rsidR="000819BC" w:rsidRPr="000819BC" w:rsidRDefault="000819BC" w:rsidP="00E76D29">
            <w:pPr>
              <w:jc w:val="center"/>
              <w:rPr>
                <w:rFonts w:ascii="Verdana" w:hAnsi="Verdana" w:cs="Arial"/>
                <w:bCs/>
                <w:sz w:val="22"/>
                <w:szCs w:val="22"/>
              </w:rPr>
            </w:pPr>
          </w:p>
        </w:tc>
        <w:tc>
          <w:tcPr>
            <w:tcW w:w="3261" w:type="dxa"/>
          </w:tcPr>
          <w:p w14:paraId="7FC1A906"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2.2</w:t>
            </w:r>
          </w:p>
        </w:tc>
      </w:tr>
      <w:tr w:rsidR="000819BC" w:rsidRPr="000819BC" w14:paraId="539EB24F" w14:textId="77777777" w:rsidTr="000819BC">
        <w:tc>
          <w:tcPr>
            <w:tcW w:w="1308" w:type="dxa"/>
          </w:tcPr>
          <w:p w14:paraId="0BAF0C9C" w14:textId="77777777" w:rsidR="000819BC" w:rsidRPr="000819BC" w:rsidRDefault="000819BC" w:rsidP="00E76D29">
            <w:pPr>
              <w:jc w:val="center"/>
              <w:rPr>
                <w:rFonts w:ascii="Verdana" w:hAnsi="Verdana" w:cs="Arial"/>
                <w:bCs/>
                <w:sz w:val="22"/>
                <w:szCs w:val="22"/>
              </w:rPr>
            </w:pPr>
          </w:p>
        </w:tc>
        <w:tc>
          <w:tcPr>
            <w:tcW w:w="4357" w:type="dxa"/>
          </w:tcPr>
          <w:p w14:paraId="55837864" w14:textId="77777777" w:rsidR="000819BC" w:rsidRPr="000819BC" w:rsidRDefault="000819BC" w:rsidP="00E76D29">
            <w:pPr>
              <w:jc w:val="center"/>
              <w:rPr>
                <w:rFonts w:ascii="Verdana" w:hAnsi="Verdana" w:cs="Arial"/>
                <w:bCs/>
                <w:sz w:val="22"/>
                <w:szCs w:val="22"/>
              </w:rPr>
            </w:pPr>
          </w:p>
        </w:tc>
        <w:tc>
          <w:tcPr>
            <w:tcW w:w="3261" w:type="dxa"/>
          </w:tcPr>
          <w:p w14:paraId="2FAE6541"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2.4</w:t>
            </w:r>
          </w:p>
        </w:tc>
      </w:tr>
      <w:tr w:rsidR="000819BC" w:rsidRPr="000819BC" w14:paraId="4BA09B19" w14:textId="77777777" w:rsidTr="000819BC">
        <w:tc>
          <w:tcPr>
            <w:tcW w:w="1308" w:type="dxa"/>
          </w:tcPr>
          <w:p w14:paraId="0A2B6FE5"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3</w:t>
            </w:r>
          </w:p>
        </w:tc>
        <w:tc>
          <w:tcPr>
            <w:tcW w:w="4357" w:type="dxa"/>
          </w:tcPr>
          <w:p w14:paraId="3F706CF2"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Transferring Courses</w:t>
            </w:r>
          </w:p>
        </w:tc>
        <w:tc>
          <w:tcPr>
            <w:tcW w:w="3261" w:type="dxa"/>
          </w:tcPr>
          <w:p w14:paraId="57106810"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3</w:t>
            </w:r>
          </w:p>
        </w:tc>
      </w:tr>
      <w:tr w:rsidR="000819BC" w:rsidRPr="000819BC" w14:paraId="3E0008D0" w14:textId="77777777" w:rsidTr="000819BC">
        <w:tc>
          <w:tcPr>
            <w:tcW w:w="1308" w:type="dxa"/>
          </w:tcPr>
          <w:p w14:paraId="6B6AEBBD"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4</w:t>
            </w:r>
          </w:p>
        </w:tc>
        <w:tc>
          <w:tcPr>
            <w:tcW w:w="4357" w:type="dxa"/>
          </w:tcPr>
          <w:p w14:paraId="7FE2B3CF"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Attendance Monitoring</w:t>
            </w:r>
          </w:p>
        </w:tc>
        <w:tc>
          <w:tcPr>
            <w:tcW w:w="3261" w:type="dxa"/>
          </w:tcPr>
          <w:p w14:paraId="3718F9AC"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4</w:t>
            </w:r>
          </w:p>
        </w:tc>
      </w:tr>
      <w:tr w:rsidR="000819BC" w:rsidRPr="000819BC" w14:paraId="4D1AD8FE" w14:textId="77777777" w:rsidTr="000819BC">
        <w:tc>
          <w:tcPr>
            <w:tcW w:w="1308" w:type="dxa"/>
          </w:tcPr>
          <w:p w14:paraId="225EDDBE"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5</w:t>
            </w:r>
          </w:p>
        </w:tc>
        <w:tc>
          <w:tcPr>
            <w:tcW w:w="4357" w:type="dxa"/>
          </w:tcPr>
          <w:p w14:paraId="2C6D951F"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Accommodation Deposits</w:t>
            </w:r>
          </w:p>
        </w:tc>
        <w:tc>
          <w:tcPr>
            <w:tcW w:w="3261" w:type="dxa"/>
          </w:tcPr>
          <w:p w14:paraId="02FE8A9A"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5</w:t>
            </w:r>
          </w:p>
        </w:tc>
      </w:tr>
      <w:tr w:rsidR="000819BC" w:rsidRPr="000819BC" w14:paraId="6C4E6B59" w14:textId="77777777" w:rsidTr="000819BC">
        <w:tc>
          <w:tcPr>
            <w:tcW w:w="1308" w:type="dxa"/>
          </w:tcPr>
          <w:p w14:paraId="1A035F32"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6</w:t>
            </w:r>
          </w:p>
        </w:tc>
        <w:tc>
          <w:tcPr>
            <w:tcW w:w="4357" w:type="dxa"/>
          </w:tcPr>
          <w:p w14:paraId="0E67B7A4"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Further guidance notes</w:t>
            </w:r>
          </w:p>
        </w:tc>
        <w:tc>
          <w:tcPr>
            <w:tcW w:w="3261" w:type="dxa"/>
          </w:tcPr>
          <w:p w14:paraId="3BFCC414"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6</w:t>
            </w:r>
          </w:p>
        </w:tc>
      </w:tr>
      <w:tr w:rsidR="000819BC" w:rsidRPr="000819BC" w14:paraId="604BA516" w14:textId="77777777" w:rsidTr="000819BC">
        <w:tc>
          <w:tcPr>
            <w:tcW w:w="1308" w:type="dxa"/>
          </w:tcPr>
          <w:p w14:paraId="17791518" w14:textId="77777777" w:rsidR="000819BC" w:rsidRPr="000819BC" w:rsidRDefault="000819BC" w:rsidP="00E76D29">
            <w:pPr>
              <w:jc w:val="center"/>
              <w:rPr>
                <w:rFonts w:ascii="Verdana" w:hAnsi="Verdana" w:cs="Arial"/>
                <w:bCs/>
                <w:sz w:val="22"/>
                <w:szCs w:val="22"/>
              </w:rPr>
            </w:pPr>
          </w:p>
        </w:tc>
        <w:tc>
          <w:tcPr>
            <w:tcW w:w="4357" w:type="dxa"/>
          </w:tcPr>
          <w:p w14:paraId="1B2AF298"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The 2008 Act amended Section 2c</w:t>
            </w:r>
          </w:p>
        </w:tc>
        <w:tc>
          <w:tcPr>
            <w:tcW w:w="3261" w:type="dxa"/>
          </w:tcPr>
          <w:p w14:paraId="59A95F86" w14:textId="77777777" w:rsidR="000819BC" w:rsidRPr="000819BC" w:rsidRDefault="000819BC" w:rsidP="00E76D29">
            <w:pPr>
              <w:jc w:val="center"/>
              <w:rPr>
                <w:rFonts w:ascii="Verdana" w:hAnsi="Verdana" w:cs="Arial"/>
                <w:bCs/>
                <w:sz w:val="22"/>
                <w:szCs w:val="22"/>
              </w:rPr>
            </w:pPr>
            <w:r w:rsidRPr="000819BC">
              <w:rPr>
                <w:rFonts w:ascii="Verdana" w:hAnsi="Verdana" w:cs="Arial"/>
                <w:bCs/>
                <w:sz w:val="22"/>
                <w:szCs w:val="22"/>
              </w:rPr>
              <w:t>7</w:t>
            </w:r>
          </w:p>
        </w:tc>
      </w:tr>
    </w:tbl>
    <w:p w14:paraId="5109158F" w14:textId="77777777" w:rsidR="00E76D29" w:rsidRPr="000819BC" w:rsidRDefault="00E76D29">
      <w:pPr>
        <w:rPr>
          <w:rFonts w:ascii="Verdana" w:hAnsi="Verdana" w:cs="Arial"/>
          <w:bCs/>
          <w:sz w:val="22"/>
          <w:szCs w:val="22"/>
        </w:rPr>
      </w:pPr>
    </w:p>
    <w:p w14:paraId="648CDD3F" w14:textId="77777777" w:rsidR="00E76D29" w:rsidRDefault="00E76D29">
      <w:pPr>
        <w:rPr>
          <w:rFonts w:ascii="Verdana" w:hAnsi="Verdana" w:cs="Arial"/>
          <w:sz w:val="22"/>
          <w:szCs w:val="22"/>
        </w:rPr>
      </w:pPr>
    </w:p>
    <w:p w14:paraId="0B10B2F9" w14:textId="77777777" w:rsidR="00E76D29" w:rsidRDefault="00E76D29">
      <w:pPr>
        <w:rPr>
          <w:rFonts w:ascii="Verdana" w:hAnsi="Verdana" w:cs="Arial"/>
          <w:sz w:val="22"/>
          <w:szCs w:val="22"/>
        </w:rPr>
      </w:pPr>
    </w:p>
    <w:p w14:paraId="1AAEC251" w14:textId="77777777" w:rsidR="00E76D29" w:rsidRDefault="00E76D29">
      <w:pPr>
        <w:rPr>
          <w:rFonts w:ascii="Verdana" w:hAnsi="Verdana" w:cs="Arial"/>
          <w:sz w:val="22"/>
          <w:szCs w:val="22"/>
        </w:rPr>
      </w:pPr>
    </w:p>
    <w:p w14:paraId="3D615852" w14:textId="77777777" w:rsidR="00E76D29" w:rsidRPr="00E76D29" w:rsidRDefault="00E76D29">
      <w:pPr>
        <w:rPr>
          <w:rFonts w:ascii="Verdana" w:hAnsi="Verdana" w:cs="Arial"/>
          <w:b/>
          <w:sz w:val="22"/>
          <w:szCs w:val="22"/>
        </w:rPr>
      </w:pPr>
    </w:p>
    <w:p w14:paraId="5A8612C9" w14:textId="77777777" w:rsidR="00E76D29" w:rsidRDefault="00E76D29">
      <w:pPr>
        <w:rPr>
          <w:rFonts w:ascii="Verdana" w:hAnsi="Verdana" w:cs="Arial"/>
          <w:sz w:val="22"/>
          <w:szCs w:val="22"/>
        </w:rPr>
      </w:pPr>
    </w:p>
    <w:p w14:paraId="648B906B" w14:textId="77777777" w:rsidR="00E76D29" w:rsidRDefault="00E76D29">
      <w:pPr>
        <w:rPr>
          <w:rFonts w:ascii="Verdana" w:hAnsi="Verdana" w:cs="Arial"/>
          <w:sz w:val="22"/>
          <w:szCs w:val="22"/>
        </w:rPr>
      </w:pPr>
    </w:p>
    <w:p w14:paraId="59304C2F" w14:textId="77777777" w:rsidR="00E76D29" w:rsidRDefault="00E76D29">
      <w:pPr>
        <w:rPr>
          <w:rFonts w:ascii="Verdana" w:hAnsi="Verdana" w:cs="Arial"/>
          <w:sz w:val="22"/>
          <w:szCs w:val="22"/>
        </w:rPr>
      </w:pPr>
    </w:p>
    <w:p w14:paraId="2CE795D2" w14:textId="77777777" w:rsidR="00E76D29" w:rsidRDefault="00E76D29">
      <w:pPr>
        <w:rPr>
          <w:rFonts w:ascii="Verdana" w:hAnsi="Verdana" w:cs="Arial"/>
          <w:sz w:val="22"/>
          <w:szCs w:val="22"/>
        </w:rPr>
      </w:pPr>
    </w:p>
    <w:p w14:paraId="4B6B5E99" w14:textId="77777777" w:rsidR="00E76D29" w:rsidRDefault="00E76D29">
      <w:pPr>
        <w:rPr>
          <w:rFonts w:ascii="Verdana" w:hAnsi="Verdana" w:cs="Arial"/>
          <w:sz w:val="22"/>
          <w:szCs w:val="22"/>
        </w:rPr>
      </w:pPr>
    </w:p>
    <w:p w14:paraId="7118EE18" w14:textId="77777777" w:rsidR="00E76D29" w:rsidRDefault="00E76D29">
      <w:pPr>
        <w:rPr>
          <w:rFonts w:ascii="Verdana" w:hAnsi="Verdana" w:cs="Arial"/>
          <w:sz w:val="22"/>
          <w:szCs w:val="22"/>
        </w:rPr>
      </w:pPr>
    </w:p>
    <w:p w14:paraId="6472F8BE" w14:textId="77777777" w:rsidR="00E76D29" w:rsidRDefault="00E76D29">
      <w:pPr>
        <w:rPr>
          <w:rFonts w:ascii="Verdana" w:hAnsi="Verdana" w:cs="Arial"/>
          <w:sz w:val="22"/>
          <w:szCs w:val="22"/>
        </w:rPr>
      </w:pPr>
    </w:p>
    <w:p w14:paraId="29BD6BC3" w14:textId="77777777" w:rsidR="00E76D29" w:rsidRDefault="00E76D29">
      <w:pPr>
        <w:rPr>
          <w:rFonts w:ascii="Verdana" w:hAnsi="Verdana" w:cs="Arial"/>
          <w:sz w:val="22"/>
          <w:szCs w:val="22"/>
        </w:rPr>
      </w:pPr>
    </w:p>
    <w:p w14:paraId="62DBF067" w14:textId="77777777" w:rsidR="00E76D29" w:rsidRDefault="00E76D29">
      <w:pPr>
        <w:rPr>
          <w:rFonts w:ascii="Verdana" w:hAnsi="Verdana" w:cs="Arial"/>
          <w:sz w:val="22"/>
          <w:szCs w:val="22"/>
        </w:rPr>
      </w:pPr>
    </w:p>
    <w:p w14:paraId="2AA29415" w14:textId="77777777" w:rsidR="005A7AB6" w:rsidRDefault="005A7AB6">
      <w:pPr>
        <w:rPr>
          <w:rFonts w:ascii="Verdana" w:hAnsi="Verdana" w:cs="Arial"/>
          <w:sz w:val="22"/>
          <w:szCs w:val="22"/>
        </w:rPr>
      </w:pPr>
    </w:p>
    <w:p w14:paraId="3A17BC5A" w14:textId="77777777" w:rsidR="005A7AB6" w:rsidRDefault="005A7AB6">
      <w:pPr>
        <w:rPr>
          <w:rFonts w:ascii="Verdana" w:hAnsi="Verdana" w:cs="Arial"/>
          <w:sz w:val="22"/>
          <w:szCs w:val="22"/>
        </w:rPr>
      </w:pPr>
    </w:p>
    <w:p w14:paraId="3BA1908D" w14:textId="77777777" w:rsidR="005A7AB6" w:rsidRDefault="005A7AB6">
      <w:pPr>
        <w:rPr>
          <w:rFonts w:ascii="Verdana" w:hAnsi="Verdana" w:cs="Arial"/>
          <w:sz w:val="22"/>
          <w:szCs w:val="22"/>
        </w:rPr>
      </w:pPr>
    </w:p>
    <w:p w14:paraId="4033527B" w14:textId="77777777" w:rsidR="005A7AB6" w:rsidRDefault="005A7AB6">
      <w:pPr>
        <w:rPr>
          <w:rFonts w:ascii="Verdana" w:hAnsi="Verdana" w:cs="Arial"/>
          <w:sz w:val="22"/>
          <w:szCs w:val="22"/>
        </w:rPr>
      </w:pPr>
    </w:p>
    <w:p w14:paraId="0BF009AF" w14:textId="77777777" w:rsidR="005A7AB6" w:rsidRDefault="005A7AB6">
      <w:pPr>
        <w:rPr>
          <w:rFonts w:ascii="Verdana" w:hAnsi="Verdana" w:cs="Arial"/>
          <w:sz w:val="22"/>
          <w:szCs w:val="22"/>
        </w:rPr>
      </w:pPr>
    </w:p>
    <w:p w14:paraId="12B03F9D" w14:textId="77777777" w:rsidR="005A7AB6" w:rsidRDefault="005A7AB6">
      <w:pPr>
        <w:rPr>
          <w:rFonts w:ascii="Verdana" w:hAnsi="Verdana" w:cs="Arial"/>
          <w:sz w:val="22"/>
          <w:szCs w:val="22"/>
        </w:rPr>
      </w:pPr>
    </w:p>
    <w:p w14:paraId="0E8536FD" w14:textId="77777777" w:rsidR="005A7AB6" w:rsidRDefault="005A7AB6">
      <w:pPr>
        <w:rPr>
          <w:rFonts w:ascii="Verdana" w:hAnsi="Verdana" w:cs="Arial"/>
          <w:sz w:val="22"/>
          <w:szCs w:val="22"/>
        </w:rPr>
      </w:pPr>
    </w:p>
    <w:p w14:paraId="279B504B" w14:textId="77777777" w:rsidR="005A7AB6" w:rsidRDefault="005A7AB6">
      <w:pPr>
        <w:rPr>
          <w:rFonts w:ascii="Verdana" w:hAnsi="Verdana" w:cs="Arial"/>
          <w:sz w:val="22"/>
          <w:szCs w:val="22"/>
        </w:rPr>
      </w:pPr>
    </w:p>
    <w:p w14:paraId="0C64128F" w14:textId="77777777" w:rsidR="005A7AB6" w:rsidRDefault="005A7AB6">
      <w:pPr>
        <w:rPr>
          <w:rFonts w:ascii="Verdana" w:hAnsi="Verdana" w:cs="Arial"/>
          <w:sz w:val="22"/>
          <w:szCs w:val="22"/>
        </w:rPr>
      </w:pPr>
    </w:p>
    <w:p w14:paraId="7628AC19" w14:textId="77777777" w:rsidR="005A7AB6" w:rsidRDefault="005A7AB6">
      <w:pPr>
        <w:rPr>
          <w:rFonts w:ascii="Verdana" w:hAnsi="Verdana" w:cs="Arial"/>
          <w:sz w:val="22"/>
          <w:szCs w:val="22"/>
        </w:rPr>
      </w:pPr>
    </w:p>
    <w:p w14:paraId="115F251C" w14:textId="77777777" w:rsidR="005A7AB6" w:rsidRDefault="005A7AB6">
      <w:pPr>
        <w:rPr>
          <w:rFonts w:ascii="Verdana" w:hAnsi="Verdana" w:cs="Arial"/>
          <w:sz w:val="22"/>
          <w:szCs w:val="22"/>
        </w:rPr>
      </w:pPr>
    </w:p>
    <w:p w14:paraId="0A1F578D" w14:textId="77777777" w:rsidR="005A7AB6" w:rsidRDefault="005A7AB6">
      <w:pPr>
        <w:rPr>
          <w:rFonts w:ascii="Verdana" w:hAnsi="Verdana" w:cs="Arial"/>
          <w:b/>
          <w:sz w:val="22"/>
          <w:szCs w:val="22"/>
        </w:rPr>
      </w:pPr>
      <w:r>
        <w:rPr>
          <w:rFonts w:ascii="Verdana" w:hAnsi="Verdana" w:cs="Arial"/>
          <w:b/>
          <w:sz w:val="22"/>
          <w:szCs w:val="22"/>
        </w:rPr>
        <w:t>Departmental Policy Guidelines</w:t>
      </w:r>
    </w:p>
    <w:tbl>
      <w:tblPr>
        <w:tblStyle w:val="TableGrid"/>
        <w:tblW w:w="0" w:type="auto"/>
        <w:tblLook w:val="01E0" w:firstRow="1" w:lastRow="1" w:firstColumn="1" w:lastColumn="1" w:noHBand="0" w:noVBand="0"/>
      </w:tblPr>
      <w:tblGrid>
        <w:gridCol w:w="1548"/>
        <w:gridCol w:w="2400"/>
      </w:tblGrid>
      <w:tr w:rsidR="005A7AB6" w14:paraId="5EE15F59" w14:textId="77777777">
        <w:tc>
          <w:tcPr>
            <w:tcW w:w="1548" w:type="dxa"/>
          </w:tcPr>
          <w:p w14:paraId="6F6E6E6C" w14:textId="77777777" w:rsidR="005A7AB6" w:rsidRPr="005A7AB6" w:rsidRDefault="005A7AB6">
            <w:pPr>
              <w:rPr>
                <w:rFonts w:ascii="Verdana" w:hAnsi="Verdana" w:cs="Arial"/>
                <w:sz w:val="22"/>
                <w:szCs w:val="22"/>
              </w:rPr>
            </w:pPr>
            <w:r w:rsidRPr="005A7AB6">
              <w:rPr>
                <w:rFonts w:ascii="Verdana" w:hAnsi="Verdana" w:cs="Arial"/>
                <w:sz w:val="22"/>
                <w:szCs w:val="22"/>
              </w:rPr>
              <w:t>Issued</w:t>
            </w:r>
          </w:p>
        </w:tc>
        <w:tc>
          <w:tcPr>
            <w:tcW w:w="2400" w:type="dxa"/>
          </w:tcPr>
          <w:p w14:paraId="7A8F19E5" w14:textId="168F566E" w:rsidR="005A7AB6" w:rsidRDefault="003A0274">
            <w:pPr>
              <w:rPr>
                <w:rFonts w:ascii="Verdana" w:hAnsi="Verdana" w:cs="Arial"/>
                <w:b/>
                <w:sz w:val="22"/>
                <w:szCs w:val="22"/>
              </w:rPr>
            </w:pPr>
            <w:r>
              <w:rPr>
                <w:rFonts w:ascii="Verdana" w:hAnsi="Verdana" w:cs="Arial"/>
                <w:b/>
                <w:sz w:val="22"/>
                <w:szCs w:val="22"/>
              </w:rPr>
              <w:t>November 2021</w:t>
            </w:r>
          </w:p>
        </w:tc>
      </w:tr>
      <w:tr w:rsidR="005A7AB6" w14:paraId="22131A68" w14:textId="77777777">
        <w:tc>
          <w:tcPr>
            <w:tcW w:w="1548" w:type="dxa"/>
          </w:tcPr>
          <w:p w14:paraId="0713CE99" w14:textId="77777777" w:rsidR="005A7AB6" w:rsidRPr="005A7AB6" w:rsidRDefault="005A7AB6">
            <w:pPr>
              <w:rPr>
                <w:rFonts w:ascii="Verdana" w:hAnsi="Verdana" w:cs="Arial"/>
                <w:sz w:val="22"/>
                <w:szCs w:val="22"/>
              </w:rPr>
            </w:pPr>
            <w:r w:rsidRPr="005A7AB6">
              <w:rPr>
                <w:rFonts w:ascii="Verdana" w:hAnsi="Verdana" w:cs="Arial"/>
                <w:sz w:val="22"/>
                <w:szCs w:val="22"/>
              </w:rPr>
              <w:t>For Review</w:t>
            </w:r>
          </w:p>
        </w:tc>
        <w:tc>
          <w:tcPr>
            <w:tcW w:w="2400" w:type="dxa"/>
          </w:tcPr>
          <w:p w14:paraId="1DE98153" w14:textId="297252D3" w:rsidR="005A7AB6" w:rsidRDefault="003A0274">
            <w:pPr>
              <w:rPr>
                <w:rFonts w:ascii="Verdana" w:hAnsi="Verdana" w:cs="Arial"/>
                <w:b/>
                <w:sz w:val="22"/>
                <w:szCs w:val="22"/>
              </w:rPr>
            </w:pPr>
            <w:r>
              <w:rPr>
                <w:rFonts w:ascii="Verdana" w:hAnsi="Verdana" w:cs="Arial"/>
                <w:b/>
                <w:sz w:val="22"/>
                <w:szCs w:val="22"/>
              </w:rPr>
              <w:t>November 2022</w:t>
            </w:r>
          </w:p>
        </w:tc>
      </w:tr>
    </w:tbl>
    <w:p w14:paraId="69F432AB" w14:textId="77777777" w:rsidR="00EF0093" w:rsidRDefault="00EF0093">
      <w:pPr>
        <w:rPr>
          <w:rFonts w:ascii="Verdana" w:hAnsi="Verdana" w:cs="Arial"/>
          <w:sz w:val="22"/>
          <w:szCs w:val="22"/>
        </w:rPr>
      </w:pPr>
    </w:p>
    <w:p w14:paraId="5848CC7F" w14:textId="77777777" w:rsidR="005D59BE" w:rsidRDefault="005D59BE" w:rsidP="005D59BE">
      <w:pPr>
        <w:jc w:val="center"/>
        <w:rPr>
          <w:rFonts w:ascii="Tahoma" w:hAnsi="Tahoma" w:cs="Tahoma"/>
          <w:b/>
          <w:u w:val="single"/>
        </w:rPr>
      </w:pPr>
    </w:p>
    <w:p w14:paraId="7BDA0012" w14:textId="77777777" w:rsidR="005D59BE" w:rsidRPr="00B728E4" w:rsidRDefault="005D59BE" w:rsidP="005D59BE">
      <w:pPr>
        <w:rPr>
          <w:rFonts w:ascii="Tahoma" w:hAnsi="Tahoma" w:cs="Tahoma"/>
          <w:b/>
        </w:rPr>
      </w:pPr>
    </w:p>
    <w:p w14:paraId="7541ADDE" w14:textId="77777777" w:rsidR="005D59BE" w:rsidRDefault="005D59BE" w:rsidP="00695A5D">
      <w:pPr>
        <w:numPr>
          <w:ilvl w:val="0"/>
          <w:numId w:val="1"/>
        </w:numPr>
        <w:rPr>
          <w:rFonts w:ascii="Verdana" w:hAnsi="Verdana" w:cs="Tahoma"/>
          <w:b/>
        </w:rPr>
      </w:pPr>
      <w:r w:rsidRPr="00126408">
        <w:rPr>
          <w:rFonts w:ascii="Verdana" w:hAnsi="Verdana" w:cs="Tahoma"/>
          <w:b/>
        </w:rPr>
        <w:t>INTRODUCTION</w:t>
      </w:r>
    </w:p>
    <w:p w14:paraId="73B81D40" w14:textId="77777777" w:rsidR="00695A5D" w:rsidRDefault="00695A5D" w:rsidP="00695A5D">
      <w:pPr>
        <w:rPr>
          <w:rFonts w:ascii="Verdana" w:hAnsi="Verdana" w:cs="Tahoma"/>
          <w:b/>
        </w:rPr>
      </w:pPr>
    </w:p>
    <w:p w14:paraId="794706F9" w14:textId="77777777" w:rsidR="00065EDE" w:rsidRDefault="00065EDE" w:rsidP="00065EDE">
      <w:pPr>
        <w:rPr>
          <w:rFonts w:ascii="Verdana" w:hAnsi="Verdana" w:cs="Tahoma"/>
          <w:b/>
        </w:rPr>
      </w:pPr>
    </w:p>
    <w:p w14:paraId="34E37FDC" w14:textId="4819129D" w:rsidR="00D45D55" w:rsidRPr="003A0274" w:rsidRDefault="00695A5D" w:rsidP="00D45D55">
      <w:pPr>
        <w:numPr>
          <w:ilvl w:val="1"/>
          <w:numId w:val="2"/>
        </w:numPr>
        <w:jc w:val="both"/>
        <w:rPr>
          <w:rFonts w:ascii="Verdana" w:hAnsi="Verdana" w:cs="Tahoma"/>
          <w:b/>
        </w:rPr>
      </w:pPr>
      <w:r>
        <w:rPr>
          <w:rFonts w:ascii="Verdana" w:hAnsi="Verdana" w:cs="Tahoma"/>
        </w:rPr>
        <w:t>T</w:t>
      </w:r>
      <w:r w:rsidR="005D59BE" w:rsidRPr="00126408">
        <w:rPr>
          <w:rFonts w:ascii="Verdana" w:hAnsi="Verdana" w:cs="Tahoma"/>
        </w:rPr>
        <w:t>he Pat</w:t>
      </w:r>
      <w:r w:rsidR="00BC374B">
        <w:rPr>
          <w:rFonts w:ascii="Verdana" w:hAnsi="Verdana" w:cs="Tahoma"/>
        </w:rPr>
        <w:t>hway Plan and post 16 PEP’s</w:t>
      </w:r>
      <w:r w:rsidR="005D59BE" w:rsidRPr="00126408">
        <w:rPr>
          <w:rFonts w:ascii="Verdana" w:hAnsi="Verdana" w:cs="Tahoma"/>
        </w:rPr>
        <w:t xml:space="preserve"> will set out plans for Higher Education in consultati</w:t>
      </w:r>
      <w:r w:rsidR="001E675E">
        <w:rPr>
          <w:rFonts w:ascii="Verdana" w:hAnsi="Verdana" w:cs="Tahoma"/>
        </w:rPr>
        <w:t>on with the</w:t>
      </w:r>
      <w:r w:rsidR="003F3B36">
        <w:rPr>
          <w:rFonts w:ascii="Verdana" w:hAnsi="Verdana" w:cs="Tahoma"/>
        </w:rPr>
        <w:t xml:space="preserve"> Social Worker</w:t>
      </w:r>
      <w:r w:rsidR="006E54B1">
        <w:rPr>
          <w:rFonts w:ascii="Verdana" w:hAnsi="Verdana" w:cs="Tahoma"/>
        </w:rPr>
        <w:t>, Personal Advisor</w:t>
      </w:r>
      <w:r w:rsidR="003F3B36">
        <w:rPr>
          <w:rFonts w:ascii="Verdana" w:hAnsi="Verdana" w:cs="Tahoma"/>
        </w:rPr>
        <w:t xml:space="preserve"> and Virtual School</w:t>
      </w:r>
      <w:r w:rsidR="001E675E">
        <w:rPr>
          <w:rFonts w:ascii="Verdana" w:hAnsi="Verdana" w:cs="Tahoma"/>
        </w:rPr>
        <w:t xml:space="preserve">. </w:t>
      </w:r>
      <w:r w:rsidR="005D59BE" w:rsidRPr="00126408">
        <w:rPr>
          <w:rFonts w:ascii="Verdana" w:hAnsi="Verdana" w:cs="Tahoma"/>
        </w:rPr>
        <w:t>A good deal of planning is needed between the young person,</w:t>
      </w:r>
      <w:r w:rsidR="006E54B1">
        <w:rPr>
          <w:rFonts w:ascii="Verdana" w:hAnsi="Verdana" w:cs="Tahoma"/>
        </w:rPr>
        <w:t xml:space="preserve"> Social W</w:t>
      </w:r>
      <w:r w:rsidR="00C02C95">
        <w:rPr>
          <w:rFonts w:ascii="Verdana" w:hAnsi="Verdana" w:cs="Tahoma"/>
        </w:rPr>
        <w:t>orker,</w:t>
      </w:r>
      <w:r w:rsidR="005D59BE" w:rsidRPr="00126408">
        <w:rPr>
          <w:rFonts w:ascii="Verdana" w:hAnsi="Verdana" w:cs="Tahoma"/>
        </w:rPr>
        <w:t xml:space="preserve"> Personal Adviser and other educational advisors to ensure the best possible choices are a</w:t>
      </w:r>
      <w:r w:rsidR="001E675E">
        <w:rPr>
          <w:rFonts w:ascii="Verdana" w:hAnsi="Verdana" w:cs="Tahoma"/>
        </w:rPr>
        <w:t xml:space="preserve">vailable to the young person. </w:t>
      </w:r>
      <w:r w:rsidR="005D59BE" w:rsidRPr="00126408">
        <w:rPr>
          <w:rFonts w:ascii="Verdana" w:hAnsi="Verdana" w:cs="Tahoma"/>
        </w:rPr>
        <w:t>This</w:t>
      </w:r>
      <w:r w:rsidR="00C02C95">
        <w:rPr>
          <w:rFonts w:ascii="Verdana" w:hAnsi="Verdana" w:cs="Tahoma"/>
        </w:rPr>
        <w:t xml:space="preserve"> education and</w:t>
      </w:r>
      <w:r w:rsidR="005D59BE" w:rsidRPr="00126408">
        <w:rPr>
          <w:rFonts w:ascii="Verdana" w:hAnsi="Verdana" w:cs="Tahoma"/>
        </w:rPr>
        <w:t xml:space="preserve"> career planning support should help young people recognise the relevance of their studies to their future career and life chances and should encourage young people to reflect regularly on their skills, </w:t>
      </w:r>
      <w:proofErr w:type="gramStart"/>
      <w:r w:rsidR="005D59BE" w:rsidRPr="00126408">
        <w:rPr>
          <w:rFonts w:ascii="Verdana" w:hAnsi="Verdana" w:cs="Tahoma"/>
        </w:rPr>
        <w:t>strengths</w:t>
      </w:r>
      <w:proofErr w:type="gramEnd"/>
      <w:r w:rsidR="005D59BE" w:rsidRPr="00126408">
        <w:rPr>
          <w:rFonts w:ascii="Verdana" w:hAnsi="Verdana" w:cs="Tahoma"/>
        </w:rPr>
        <w:t xml:space="preserve"> and aspirations.</w:t>
      </w:r>
    </w:p>
    <w:p w14:paraId="04EBE017" w14:textId="77777777" w:rsidR="003A0274" w:rsidRDefault="003A0274" w:rsidP="003A0274">
      <w:pPr>
        <w:ind w:left="1077"/>
        <w:jc w:val="both"/>
        <w:rPr>
          <w:rFonts w:ascii="Verdana" w:hAnsi="Verdana" w:cs="Tahoma"/>
          <w:b/>
        </w:rPr>
      </w:pPr>
    </w:p>
    <w:p w14:paraId="16ACE913" w14:textId="77777777" w:rsidR="00D45D55" w:rsidRPr="00D45D55" w:rsidRDefault="00D45D55" w:rsidP="00D45D55">
      <w:pPr>
        <w:numPr>
          <w:ilvl w:val="1"/>
          <w:numId w:val="2"/>
        </w:numPr>
        <w:jc w:val="both"/>
        <w:rPr>
          <w:rFonts w:ascii="Verdana" w:hAnsi="Verdana" w:cs="Tahoma"/>
          <w:b/>
        </w:rPr>
      </w:pPr>
      <w:r>
        <w:rPr>
          <w:rFonts w:ascii="Verdana" w:hAnsi="Verdana" w:cs="Tahoma"/>
        </w:rPr>
        <w:t xml:space="preserve">At any time after the age of 18, the young person can discuss with their allocated Personal Advisor any ambitions to access Higher Education course and appropriate advice will be given. </w:t>
      </w:r>
    </w:p>
    <w:p w14:paraId="027642B1" w14:textId="77777777" w:rsidR="00CA0A63" w:rsidRDefault="00CA0A63" w:rsidP="006E54B1">
      <w:pPr>
        <w:jc w:val="both"/>
        <w:rPr>
          <w:rFonts w:ascii="Verdana" w:hAnsi="Verdana" w:cs="Tahoma"/>
          <w:b/>
        </w:rPr>
      </w:pPr>
    </w:p>
    <w:p w14:paraId="0DE92A0A" w14:textId="77777777" w:rsidR="005D59BE" w:rsidRPr="00065EDE" w:rsidRDefault="005D59BE" w:rsidP="006E54B1">
      <w:pPr>
        <w:numPr>
          <w:ilvl w:val="0"/>
          <w:numId w:val="1"/>
        </w:numPr>
        <w:ind w:right="399"/>
        <w:jc w:val="both"/>
        <w:rPr>
          <w:rFonts w:ascii="Verdana" w:hAnsi="Verdana" w:cs="Tahoma"/>
        </w:rPr>
      </w:pPr>
      <w:r w:rsidRPr="00126408">
        <w:rPr>
          <w:rFonts w:ascii="Verdana" w:hAnsi="Verdana" w:cs="Tahoma"/>
          <w:b/>
        </w:rPr>
        <w:t>FUNDING</w:t>
      </w:r>
    </w:p>
    <w:p w14:paraId="44FE7BC8" w14:textId="77777777" w:rsidR="00065EDE" w:rsidRDefault="00065EDE" w:rsidP="006E54B1">
      <w:pPr>
        <w:ind w:left="360" w:right="399"/>
        <w:jc w:val="both"/>
        <w:rPr>
          <w:rFonts w:ascii="Verdana" w:hAnsi="Verdana" w:cs="Tahoma"/>
          <w:b/>
        </w:rPr>
      </w:pPr>
    </w:p>
    <w:p w14:paraId="71DF7055" w14:textId="77777777" w:rsidR="00065EDE" w:rsidRPr="00126408" w:rsidRDefault="00F84723" w:rsidP="006E54B1">
      <w:pPr>
        <w:numPr>
          <w:ilvl w:val="1"/>
          <w:numId w:val="3"/>
        </w:numPr>
        <w:ind w:right="399"/>
        <w:jc w:val="both"/>
        <w:rPr>
          <w:rFonts w:ascii="Verdana" w:hAnsi="Verdana" w:cs="Tahoma"/>
          <w:b/>
        </w:rPr>
      </w:pPr>
      <w:r>
        <w:rPr>
          <w:rFonts w:ascii="Verdana" w:hAnsi="Verdana" w:cs="Tahoma"/>
          <w:b/>
        </w:rPr>
        <w:t>Higher Education Entitlement</w:t>
      </w:r>
    </w:p>
    <w:p w14:paraId="23E5746D" w14:textId="77777777" w:rsidR="005D59BE" w:rsidRPr="00126408" w:rsidRDefault="005D59BE" w:rsidP="006E54B1">
      <w:pPr>
        <w:ind w:left="480" w:right="399"/>
        <w:jc w:val="both"/>
        <w:rPr>
          <w:rFonts w:ascii="Verdana" w:hAnsi="Verdana" w:cs="Tahoma"/>
          <w:b/>
        </w:rPr>
      </w:pPr>
    </w:p>
    <w:p w14:paraId="34B043B4" w14:textId="21EA856A" w:rsidR="00F84723" w:rsidRDefault="00C02C95" w:rsidP="006E54B1">
      <w:pPr>
        <w:ind w:left="1080" w:right="399"/>
        <w:jc w:val="both"/>
        <w:rPr>
          <w:rFonts w:ascii="Verdana" w:hAnsi="Verdana" w:cs="Tahoma"/>
        </w:rPr>
      </w:pPr>
      <w:r>
        <w:rPr>
          <w:rFonts w:ascii="Verdana" w:hAnsi="Verdana" w:cs="Tahoma"/>
        </w:rPr>
        <w:t>Once accepted onto a</w:t>
      </w:r>
      <w:r w:rsidR="006E54B1">
        <w:rPr>
          <w:rFonts w:ascii="Verdana" w:hAnsi="Verdana" w:cs="Tahoma"/>
        </w:rPr>
        <w:t xml:space="preserve"> </w:t>
      </w:r>
      <w:r w:rsidR="003A0274">
        <w:rPr>
          <w:rFonts w:ascii="Verdana" w:hAnsi="Verdana" w:cs="Tahoma"/>
        </w:rPr>
        <w:t>Higher Education/ University</w:t>
      </w:r>
      <w:r w:rsidR="006E54B1">
        <w:rPr>
          <w:rFonts w:ascii="Verdana" w:hAnsi="Verdana" w:cs="Tahoma"/>
        </w:rPr>
        <w:t xml:space="preserve"> course w</w:t>
      </w:r>
      <w:r w:rsidR="00BC374B" w:rsidRPr="00511495">
        <w:rPr>
          <w:rFonts w:ascii="Verdana" w:hAnsi="Verdana" w:cs="Tahoma"/>
        </w:rPr>
        <w:t xml:space="preserve">e will pay </w:t>
      </w:r>
      <w:r>
        <w:rPr>
          <w:rFonts w:ascii="Verdana" w:hAnsi="Verdana" w:cs="Tahoma"/>
        </w:rPr>
        <w:t>the</w:t>
      </w:r>
      <w:r w:rsidR="00F84723">
        <w:rPr>
          <w:rFonts w:ascii="Verdana" w:hAnsi="Verdana" w:cs="Tahoma"/>
        </w:rPr>
        <w:t xml:space="preserve"> annual contribution of </w:t>
      </w:r>
      <w:r>
        <w:rPr>
          <w:rFonts w:ascii="Verdana" w:hAnsi="Verdana" w:cs="Tahoma"/>
        </w:rPr>
        <w:t>up to £6,200 to be used towards your student</w:t>
      </w:r>
      <w:r w:rsidR="00F84723">
        <w:rPr>
          <w:rFonts w:ascii="Verdana" w:hAnsi="Verdana" w:cs="Tahoma"/>
        </w:rPr>
        <w:t xml:space="preserve"> accommodation and living costs. </w:t>
      </w:r>
      <w:r w:rsidR="003A0274">
        <w:rPr>
          <w:rFonts w:ascii="Verdana" w:hAnsi="Verdana" w:cs="Tahoma"/>
        </w:rPr>
        <w:t>The Local Authority can administer this on a weekly</w:t>
      </w:r>
      <w:r w:rsidR="00690484">
        <w:rPr>
          <w:rFonts w:ascii="Verdana" w:hAnsi="Verdana" w:cs="Tahoma"/>
        </w:rPr>
        <w:t>/</w:t>
      </w:r>
      <w:r w:rsidR="003A0274">
        <w:rPr>
          <w:rFonts w:ascii="Verdana" w:hAnsi="Verdana" w:cs="Tahoma"/>
        </w:rPr>
        <w:t xml:space="preserve"> termly basis</w:t>
      </w:r>
      <w:r w:rsidR="00690484">
        <w:rPr>
          <w:rFonts w:ascii="Verdana" w:hAnsi="Verdana" w:cs="Tahoma"/>
        </w:rPr>
        <w:t xml:space="preserve"> OR hold some payments for over the summer </w:t>
      </w:r>
      <w:proofErr w:type="gramStart"/>
      <w:r w:rsidR="00690484">
        <w:rPr>
          <w:rFonts w:ascii="Verdana" w:hAnsi="Verdana" w:cs="Tahoma"/>
        </w:rPr>
        <w:t>holidays</w:t>
      </w:r>
      <w:r w:rsidR="003A0274">
        <w:rPr>
          <w:rFonts w:ascii="Verdana" w:hAnsi="Verdana" w:cs="Tahoma"/>
        </w:rPr>
        <w:t>, but</w:t>
      </w:r>
      <w:proofErr w:type="gramEnd"/>
      <w:r w:rsidR="003A0274">
        <w:rPr>
          <w:rFonts w:ascii="Verdana" w:hAnsi="Verdana" w:cs="Tahoma"/>
        </w:rPr>
        <w:t xml:space="preserve"> are not able to ‘save’ this for the young person after the end of the financial year when </w:t>
      </w:r>
      <w:r w:rsidR="00690484">
        <w:rPr>
          <w:rFonts w:ascii="Verdana" w:hAnsi="Verdana" w:cs="Tahoma"/>
        </w:rPr>
        <w:t>accessed.</w:t>
      </w:r>
      <w:r w:rsidR="00F84723">
        <w:rPr>
          <w:rFonts w:ascii="Verdana" w:hAnsi="Verdana" w:cs="Tahoma"/>
        </w:rPr>
        <w:t xml:space="preserve"> </w:t>
      </w:r>
    </w:p>
    <w:p w14:paraId="69221C84" w14:textId="77777777" w:rsidR="004A5A69" w:rsidRDefault="004A5A69" w:rsidP="006E54B1">
      <w:pPr>
        <w:ind w:left="1080" w:right="399"/>
        <w:jc w:val="both"/>
        <w:rPr>
          <w:rFonts w:ascii="Verdana" w:hAnsi="Verdana" w:cs="Tahoma"/>
        </w:rPr>
      </w:pPr>
    </w:p>
    <w:p w14:paraId="5CACE2C5" w14:textId="77777777" w:rsidR="00F84723" w:rsidRDefault="00F84723" w:rsidP="006E54B1">
      <w:pPr>
        <w:ind w:left="1080" w:right="399"/>
        <w:jc w:val="both"/>
        <w:rPr>
          <w:rFonts w:ascii="Verdana" w:hAnsi="Verdana" w:cs="Tahoma"/>
        </w:rPr>
      </w:pPr>
      <w:r>
        <w:rPr>
          <w:rFonts w:ascii="Verdana" w:hAnsi="Verdana" w:cs="Tahoma"/>
        </w:rPr>
        <w:t xml:space="preserve">An additional maximum annual contribution of </w:t>
      </w:r>
      <w:r w:rsidR="006E54B1">
        <w:rPr>
          <w:rFonts w:ascii="Verdana" w:hAnsi="Verdana" w:cs="Tahoma"/>
        </w:rPr>
        <w:t xml:space="preserve">up to </w:t>
      </w:r>
      <w:r>
        <w:rPr>
          <w:rFonts w:ascii="Verdana" w:hAnsi="Verdana" w:cs="Tahoma"/>
        </w:rPr>
        <w:t>£2,500 will be paid if you are studying and living within the Borough of London.</w:t>
      </w:r>
    </w:p>
    <w:p w14:paraId="6F849234" w14:textId="77777777" w:rsidR="00F84723" w:rsidRPr="00511495" w:rsidRDefault="00F84723" w:rsidP="006E54B1">
      <w:pPr>
        <w:ind w:left="1080" w:right="399"/>
        <w:jc w:val="both"/>
        <w:rPr>
          <w:rFonts w:ascii="Verdana" w:hAnsi="Verdana" w:cs="Tahoma"/>
        </w:rPr>
      </w:pPr>
    </w:p>
    <w:p w14:paraId="4BE9D1A5" w14:textId="7DEF3F84" w:rsidR="00BC374B" w:rsidRDefault="00BC374B" w:rsidP="006E54B1">
      <w:pPr>
        <w:ind w:left="1080" w:right="399"/>
        <w:jc w:val="both"/>
        <w:rPr>
          <w:rFonts w:ascii="Verdana" w:hAnsi="Verdana" w:cs="Tahoma"/>
        </w:rPr>
      </w:pPr>
      <w:r w:rsidRPr="00511495">
        <w:rPr>
          <w:rFonts w:ascii="Verdana" w:hAnsi="Verdana" w:cs="Tahoma"/>
        </w:rPr>
        <w:t>The L</w:t>
      </w:r>
      <w:r w:rsidR="006E54B1">
        <w:rPr>
          <w:rFonts w:ascii="Verdana" w:hAnsi="Verdana" w:cs="Tahoma"/>
        </w:rPr>
        <w:t xml:space="preserve">ocal </w:t>
      </w:r>
      <w:r w:rsidRPr="00511495">
        <w:rPr>
          <w:rFonts w:ascii="Verdana" w:hAnsi="Verdana" w:cs="Tahoma"/>
        </w:rPr>
        <w:t>A</w:t>
      </w:r>
      <w:r w:rsidR="006E54B1">
        <w:rPr>
          <w:rFonts w:ascii="Verdana" w:hAnsi="Verdana" w:cs="Tahoma"/>
        </w:rPr>
        <w:t>uthority</w:t>
      </w:r>
      <w:r w:rsidRPr="00511495">
        <w:rPr>
          <w:rFonts w:ascii="Verdana" w:hAnsi="Verdana" w:cs="Tahoma"/>
        </w:rPr>
        <w:t xml:space="preserve"> will have discretion if there is a recurrent or repeated year.</w:t>
      </w:r>
      <w:r w:rsidR="00690484">
        <w:rPr>
          <w:rFonts w:ascii="Verdana" w:hAnsi="Verdana" w:cs="Tahoma"/>
        </w:rPr>
        <w:t xml:space="preserve"> This would be based on an up-dated Pathway Plan/ PEP.</w:t>
      </w:r>
    </w:p>
    <w:p w14:paraId="641C916A" w14:textId="77777777" w:rsidR="006C41E1" w:rsidRDefault="006C41E1" w:rsidP="006E54B1">
      <w:pPr>
        <w:ind w:left="1080" w:right="399"/>
        <w:jc w:val="both"/>
        <w:rPr>
          <w:rFonts w:ascii="Verdana" w:hAnsi="Verdana" w:cs="Tahoma"/>
        </w:rPr>
      </w:pPr>
    </w:p>
    <w:p w14:paraId="37036D9E" w14:textId="77777777" w:rsidR="006C41E1" w:rsidRPr="00511495" w:rsidRDefault="006C41E1" w:rsidP="006E54B1">
      <w:pPr>
        <w:ind w:left="1080" w:right="399"/>
        <w:jc w:val="both"/>
        <w:rPr>
          <w:rFonts w:ascii="Verdana" w:hAnsi="Verdana" w:cs="Tahoma"/>
        </w:rPr>
      </w:pPr>
      <w:r>
        <w:rPr>
          <w:rFonts w:ascii="Verdana" w:hAnsi="Verdana" w:cs="Tahoma"/>
        </w:rPr>
        <w:t>The Local Authority will fund up to a maximum of £150 contribution towards the costs of graduation which can be used to fund the event, a celebratory meal or the costs of photographs.</w:t>
      </w:r>
    </w:p>
    <w:p w14:paraId="199125A3" w14:textId="77777777" w:rsidR="00065EDE" w:rsidRPr="000E4E01" w:rsidRDefault="00065EDE" w:rsidP="006E54B1">
      <w:pPr>
        <w:ind w:left="1080" w:right="399"/>
        <w:jc w:val="both"/>
        <w:rPr>
          <w:rFonts w:ascii="Verdana" w:hAnsi="Verdana" w:cs="Tahoma"/>
          <w:color w:val="FF0000"/>
        </w:rPr>
      </w:pPr>
    </w:p>
    <w:p w14:paraId="705D8C85" w14:textId="77777777" w:rsidR="005D59BE" w:rsidRPr="00065EDE" w:rsidRDefault="00065EDE" w:rsidP="006E54B1">
      <w:pPr>
        <w:ind w:right="399"/>
        <w:jc w:val="both"/>
        <w:rPr>
          <w:rFonts w:ascii="Verdana" w:hAnsi="Verdana" w:cs="Tahoma"/>
        </w:rPr>
      </w:pPr>
      <w:r>
        <w:rPr>
          <w:rFonts w:ascii="Verdana" w:hAnsi="Verdana" w:cs="Tahoma"/>
        </w:rPr>
        <w:t xml:space="preserve">    2.2    </w:t>
      </w:r>
      <w:smartTag w:uri="urn:schemas-microsoft-com:office:smarttags" w:element="place">
        <w:r w:rsidR="00BD0263">
          <w:rPr>
            <w:rFonts w:ascii="Verdana" w:hAnsi="Verdana" w:cs="Tahoma"/>
            <w:b/>
          </w:rPr>
          <w:t>Holiday</w:t>
        </w:r>
      </w:smartTag>
      <w:r w:rsidR="005D59BE" w:rsidRPr="00126408">
        <w:rPr>
          <w:rFonts w:ascii="Verdana" w:hAnsi="Verdana" w:cs="Tahoma"/>
          <w:b/>
        </w:rPr>
        <w:t xml:space="preserve"> Accommodation</w:t>
      </w:r>
    </w:p>
    <w:p w14:paraId="4FE4ADE5" w14:textId="77777777" w:rsidR="005D59BE" w:rsidRPr="00126408" w:rsidRDefault="005D59BE" w:rsidP="006E54B1">
      <w:pPr>
        <w:ind w:left="480" w:right="399"/>
        <w:jc w:val="both"/>
        <w:rPr>
          <w:rFonts w:ascii="Verdana" w:hAnsi="Verdana" w:cs="Tahoma"/>
          <w:b/>
        </w:rPr>
      </w:pPr>
    </w:p>
    <w:p w14:paraId="12F01378" w14:textId="647B275F" w:rsidR="005D59BE" w:rsidRDefault="00BD0263" w:rsidP="006E54B1">
      <w:pPr>
        <w:ind w:left="1080" w:right="399"/>
        <w:jc w:val="both"/>
        <w:rPr>
          <w:rFonts w:ascii="Verdana" w:hAnsi="Verdana" w:cs="Tahoma"/>
        </w:rPr>
      </w:pPr>
      <w:r>
        <w:rPr>
          <w:rFonts w:ascii="Verdana" w:hAnsi="Verdana" w:cs="Tahoma"/>
        </w:rPr>
        <w:t xml:space="preserve">If a young person </w:t>
      </w:r>
      <w:r w:rsidR="00F84723">
        <w:rPr>
          <w:rFonts w:ascii="Verdana" w:hAnsi="Verdana" w:cs="Tahoma"/>
        </w:rPr>
        <w:t>requires</w:t>
      </w:r>
      <w:r>
        <w:rPr>
          <w:rFonts w:ascii="Verdana" w:hAnsi="Verdana" w:cs="Tahoma"/>
        </w:rPr>
        <w:t xml:space="preserve"> Holiday</w:t>
      </w:r>
      <w:r w:rsidR="005D59BE" w:rsidRPr="00126408">
        <w:rPr>
          <w:rFonts w:ascii="Verdana" w:hAnsi="Verdana" w:cs="Tahoma"/>
        </w:rPr>
        <w:t xml:space="preserve"> Accommodation the amount available will </w:t>
      </w:r>
      <w:r w:rsidR="001E675E">
        <w:rPr>
          <w:rFonts w:ascii="Verdana" w:hAnsi="Verdana" w:cs="Tahoma"/>
        </w:rPr>
        <w:t>be up to a maximum of £</w:t>
      </w:r>
      <w:r w:rsidR="00690484">
        <w:rPr>
          <w:rFonts w:ascii="Verdana" w:hAnsi="Verdana" w:cs="Tahoma"/>
        </w:rPr>
        <w:t>2,100</w:t>
      </w:r>
      <w:r w:rsidR="001E675E">
        <w:rPr>
          <w:rFonts w:ascii="Verdana" w:hAnsi="Verdana" w:cs="Tahoma"/>
        </w:rPr>
        <w:t xml:space="preserve">. </w:t>
      </w:r>
      <w:r w:rsidR="005D59BE" w:rsidRPr="00126408">
        <w:rPr>
          <w:rFonts w:ascii="Verdana" w:hAnsi="Verdana" w:cs="Tahoma"/>
        </w:rPr>
        <w:t xml:space="preserve">Young people may use this money to return to former </w:t>
      </w:r>
      <w:r w:rsidR="00AB7814">
        <w:rPr>
          <w:rFonts w:ascii="Verdana" w:hAnsi="Verdana" w:cs="Tahoma"/>
        </w:rPr>
        <w:t xml:space="preserve">foster carers or supported lodgings </w:t>
      </w:r>
      <w:r w:rsidR="00AB7814">
        <w:rPr>
          <w:rFonts w:ascii="Verdana" w:hAnsi="Verdana" w:cs="Tahoma"/>
        </w:rPr>
        <w:lastRenderedPageBreak/>
        <w:t>hosts</w:t>
      </w:r>
      <w:r w:rsidR="005D59BE" w:rsidRPr="00126408">
        <w:rPr>
          <w:rFonts w:ascii="Verdana" w:hAnsi="Verdana" w:cs="Tahoma"/>
        </w:rPr>
        <w:t>.</w:t>
      </w:r>
      <w:r w:rsidR="00F84723">
        <w:rPr>
          <w:rFonts w:ascii="Verdana" w:hAnsi="Verdana" w:cs="Tahoma"/>
        </w:rPr>
        <w:t xml:space="preserve">  This is a discretionary payment</w:t>
      </w:r>
      <w:r w:rsidR="00A143F2">
        <w:rPr>
          <w:rFonts w:ascii="Verdana" w:hAnsi="Verdana" w:cs="Tahoma"/>
        </w:rPr>
        <w:t>, subject to assessment of need,</w:t>
      </w:r>
      <w:r w:rsidR="00F84723">
        <w:rPr>
          <w:rFonts w:ascii="Verdana" w:hAnsi="Verdana" w:cs="Tahoma"/>
        </w:rPr>
        <w:t xml:space="preserve"> and will need to be planned with your P</w:t>
      </w:r>
      <w:r w:rsidR="006E54B1">
        <w:rPr>
          <w:rFonts w:ascii="Verdana" w:hAnsi="Verdana" w:cs="Tahoma"/>
        </w:rPr>
        <w:t xml:space="preserve">ersonal </w:t>
      </w:r>
      <w:r w:rsidR="00F84723">
        <w:rPr>
          <w:rFonts w:ascii="Verdana" w:hAnsi="Verdana" w:cs="Tahoma"/>
        </w:rPr>
        <w:t>A</w:t>
      </w:r>
      <w:r w:rsidR="006E54B1">
        <w:rPr>
          <w:rFonts w:ascii="Verdana" w:hAnsi="Verdana" w:cs="Tahoma"/>
        </w:rPr>
        <w:t>dvisor</w:t>
      </w:r>
      <w:r w:rsidR="00F84723">
        <w:rPr>
          <w:rFonts w:ascii="Verdana" w:hAnsi="Verdana" w:cs="Tahoma"/>
        </w:rPr>
        <w:t>.</w:t>
      </w:r>
      <w:r w:rsidR="00AB7814">
        <w:rPr>
          <w:rFonts w:ascii="Verdana" w:hAnsi="Verdana" w:cs="Tahoma"/>
        </w:rPr>
        <w:t xml:space="preserve"> </w:t>
      </w:r>
    </w:p>
    <w:p w14:paraId="1F279DF0" w14:textId="77777777" w:rsidR="00E6712C" w:rsidRDefault="00E6712C" w:rsidP="006E54B1">
      <w:pPr>
        <w:ind w:left="1080" w:right="399"/>
        <w:jc w:val="both"/>
        <w:rPr>
          <w:rFonts w:ascii="Verdana" w:hAnsi="Verdana" w:cs="Tahoma"/>
        </w:rPr>
      </w:pPr>
    </w:p>
    <w:p w14:paraId="4DE2D4A2" w14:textId="77777777" w:rsidR="005D59BE" w:rsidRPr="00E6712C" w:rsidRDefault="004A5A69" w:rsidP="006E54B1">
      <w:pPr>
        <w:ind w:left="360" w:right="399"/>
        <w:jc w:val="both"/>
        <w:rPr>
          <w:rFonts w:ascii="Verdana" w:hAnsi="Verdana" w:cs="Tahoma"/>
        </w:rPr>
      </w:pPr>
      <w:r>
        <w:rPr>
          <w:rFonts w:ascii="Verdana" w:hAnsi="Verdana" w:cs="Tahoma"/>
        </w:rPr>
        <w:t>2.3</w:t>
      </w:r>
      <w:r w:rsidR="00E6712C">
        <w:rPr>
          <w:rFonts w:ascii="Verdana" w:hAnsi="Verdana" w:cs="Tahoma"/>
        </w:rPr>
        <w:t xml:space="preserve">    </w:t>
      </w:r>
      <w:r w:rsidR="005D59BE" w:rsidRPr="00126408">
        <w:rPr>
          <w:rFonts w:ascii="Verdana" w:hAnsi="Verdana" w:cs="Tahoma"/>
          <w:b/>
        </w:rPr>
        <w:t>Duration of Funding</w:t>
      </w:r>
    </w:p>
    <w:p w14:paraId="12041988" w14:textId="77777777" w:rsidR="005D59BE" w:rsidRPr="00126408" w:rsidRDefault="005D59BE" w:rsidP="006E54B1">
      <w:pPr>
        <w:ind w:left="720" w:right="399"/>
        <w:jc w:val="both"/>
        <w:rPr>
          <w:rFonts w:ascii="Verdana" w:hAnsi="Verdana" w:cs="Tahoma"/>
          <w:b/>
        </w:rPr>
      </w:pPr>
    </w:p>
    <w:p w14:paraId="42541F3E" w14:textId="6EA81A59" w:rsidR="00B728E4" w:rsidRPr="00511495" w:rsidRDefault="00BC374B" w:rsidP="006E54B1">
      <w:pPr>
        <w:ind w:left="1080" w:right="399"/>
        <w:jc w:val="both"/>
        <w:rPr>
          <w:rFonts w:ascii="Verdana" w:hAnsi="Verdana" w:cs="Tahoma"/>
        </w:rPr>
      </w:pPr>
      <w:r w:rsidRPr="00511495">
        <w:rPr>
          <w:rFonts w:ascii="Verdana" w:hAnsi="Verdana" w:cs="Tahoma"/>
        </w:rPr>
        <w:t>We will pay the normal duration of the course</w:t>
      </w:r>
      <w:r w:rsidR="000E4E01" w:rsidRPr="00511495">
        <w:rPr>
          <w:rFonts w:ascii="Verdana" w:hAnsi="Verdana" w:cs="Tahoma"/>
        </w:rPr>
        <w:t xml:space="preserve"> with the additional       year for a foundation course or PGCE.</w:t>
      </w:r>
      <w:r w:rsidRPr="00511495">
        <w:rPr>
          <w:rFonts w:ascii="Verdana" w:hAnsi="Verdana" w:cs="Tahoma"/>
        </w:rPr>
        <w:t xml:space="preserve"> </w:t>
      </w:r>
      <w:r w:rsidR="00AB7814">
        <w:rPr>
          <w:rFonts w:ascii="Verdana" w:hAnsi="Verdana" w:cs="Tahoma"/>
        </w:rPr>
        <w:t xml:space="preserve">Funding is for a maximum of a </w:t>
      </w:r>
      <w:proofErr w:type="gramStart"/>
      <w:r w:rsidR="00AB7814">
        <w:rPr>
          <w:rFonts w:ascii="Verdana" w:hAnsi="Verdana" w:cs="Tahoma"/>
        </w:rPr>
        <w:t>4 year</w:t>
      </w:r>
      <w:proofErr w:type="gramEnd"/>
      <w:r w:rsidR="00AB7814">
        <w:rPr>
          <w:rFonts w:ascii="Verdana" w:hAnsi="Verdana" w:cs="Tahoma"/>
        </w:rPr>
        <w:t xml:space="preserve"> period and for Undergraduate Courses. Where the Young Person needs to repeat a year, this is subject to assessment of need and will be planned with your Personal Advisor.</w:t>
      </w:r>
    </w:p>
    <w:p w14:paraId="303F6724" w14:textId="77777777" w:rsidR="00BC374B" w:rsidRPr="000E4E01" w:rsidRDefault="00BC374B" w:rsidP="006E54B1">
      <w:pPr>
        <w:ind w:left="720" w:right="399"/>
        <w:jc w:val="both"/>
        <w:rPr>
          <w:rFonts w:ascii="Verdana" w:hAnsi="Verdana" w:cs="Tahoma"/>
          <w:color w:val="FF0000"/>
        </w:rPr>
      </w:pPr>
    </w:p>
    <w:p w14:paraId="0B648CD9" w14:textId="77777777" w:rsidR="005D59BE" w:rsidRPr="00126408" w:rsidRDefault="00B728E4" w:rsidP="006E54B1">
      <w:pPr>
        <w:numPr>
          <w:ilvl w:val="0"/>
          <w:numId w:val="1"/>
        </w:numPr>
        <w:ind w:right="399"/>
        <w:jc w:val="both"/>
        <w:rPr>
          <w:rFonts w:ascii="Verdana" w:hAnsi="Verdana" w:cs="Tahoma"/>
        </w:rPr>
      </w:pPr>
      <w:r w:rsidRPr="00126408">
        <w:rPr>
          <w:rFonts w:ascii="Verdana" w:hAnsi="Verdana" w:cs="Tahoma"/>
          <w:b/>
        </w:rPr>
        <w:t>TRANSFERRING COURSES</w:t>
      </w:r>
    </w:p>
    <w:p w14:paraId="2B7C2039" w14:textId="77777777" w:rsidR="005D59BE" w:rsidRPr="00126408" w:rsidRDefault="005D59BE" w:rsidP="006E54B1">
      <w:pPr>
        <w:ind w:left="480" w:right="399"/>
        <w:jc w:val="both"/>
        <w:rPr>
          <w:rFonts w:ascii="Verdana" w:hAnsi="Verdana" w:cs="Tahoma"/>
          <w:b/>
        </w:rPr>
      </w:pPr>
    </w:p>
    <w:p w14:paraId="53ECF7CF" w14:textId="77777777" w:rsidR="004A5A69" w:rsidRDefault="005D59BE" w:rsidP="006E54B1">
      <w:pPr>
        <w:ind w:left="1080" w:right="399"/>
        <w:jc w:val="both"/>
        <w:rPr>
          <w:rFonts w:ascii="Verdana" w:hAnsi="Verdana" w:cs="Tahoma"/>
        </w:rPr>
      </w:pPr>
      <w:r w:rsidRPr="00126408">
        <w:rPr>
          <w:rFonts w:ascii="Verdana" w:hAnsi="Verdana" w:cs="Tahoma"/>
        </w:rPr>
        <w:t>It is expected that the young person will discuss transferring courses with their tutor and Personal Adviser within a reasonable time</w:t>
      </w:r>
      <w:r w:rsidR="006E54B1">
        <w:rPr>
          <w:rFonts w:ascii="Verdana" w:hAnsi="Verdana" w:cs="Tahoma"/>
        </w:rPr>
        <w:t xml:space="preserve"> scale</w:t>
      </w:r>
      <w:r w:rsidRPr="00126408">
        <w:rPr>
          <w:rFonts w:ascii="Verdana" w:hAnsi="Verdana" w:cs="Tahoma"/>
        </w:rPr>
        <w:t xml:space="preserve"> to ensure the continuation of study.</w:t>
      </w:r>
    </w:p>
    <w:p w14:paraId="44EB9684" w14:textId="77777777" w:rsidR="006C41E1" w:rsidRPr="00126408" w:rsidRDefault="006C41E1" w:rsidP="006E54B1">
      <w:pPr>
        <w:ind w:left="1080" w:right="399"/>
        <w:jc w:val="both"/>
        <w:rPr>
          <w:rFonts w:ascii="Verdana" w:hAnsi="Verdana" w:cs="Tahoma"/>
        </w:rPr>
      </w:pPr>
    </w:p>
    <w:p w14:paraId="1CFA2963" w14:textId="77777777" w:rsidR="005D59BE" w:rsidRPr="00126408" w:rsidRDefault="00B728E4" w:rsidP="006E54B1">
      <w:pPr>
        <w:numPr>
          <w:ilvl w:val="0"/>
          <w:numId w:val="1"/>
        </w:numPr>
        <w:ind w:right="399"/>
        <w:jc w:val="both"/>
        <w:rPr>
          <w:rFonts w:ascii="Verdana" w:hAnsi="Verdana" w:cs="Tahoma"/>
        </w:rPr>
      </w:pPr>
      <w:r w:rsidRPr="00126408">
        <w:rPr>
          <w:rFonts w:ascii="Verdana" w:hAnsi="Verdana" w:cs="Tahoma"/>
          <w:b/>
        </w:rPr>
        <w:t>ATTENDANCE MONITORING</w:t>
      </w:r>
    </w:p>
    <w:p w14:paraId="44126FDD" w14:textId="77777777" w:rsidR="005D59BE" w:rsidRPr="00126408" w:rsidRDefault="005D59BE" w:rsidP="006E54B1">
      <w:pPr>
        <w:ind w:left="480" w:right="399"/>
        <w:jc w:val="both"/>
        <w:rPr>
          <w:rFonts w:ascii="Verdana" w:hAnsi="Verdana" w:cs="Tahoma"/>
          <w:b/>
        </w:rPr>
      </w:pPr>
    </w:p>
    <w:p w14:paraId="125A5445" w14:textId="77777777" w:rsidR="006E54B1" w:rsidRDefault="005D59BE" w:rsidP="006E54B1">
      <w:pPr>
        <w:ind w:left="1080" w:right="399"/>
        <w:jc w:val="both"/>
        <w:rPr>
          <w:rFonts w:ascii="Verdana" w:hAnsi="Verdana" w:cs="Tahoma"/>
        </w:rPr>
      </w:pPr>
      <w:r w:rsidRPr="00126408">
        <w:rPr>
          <w:rFonts w:ascii="Verdana" w:hAnsi="Verdana" w:cs="Tahoma"/>
        </w:rPr>
        <w:t xml:space="preserve">Young People will be expected to discuss with their tutor and Personal Adviser any difficulties they are having with </w:t>
      </w:r>
      <w:r w:rsidR="001E675E">
        <w:rPr>
          <w:rFonts w:ascii="Verdana" w:hAnsi="Verdana" w:cs="Tahoma"/>
        </w:rPr>
        <w:t xml:space="preserve">attendance and/or coursework. </w:t>
      </w:r>
      <w:r w:rsidRPr="00126408">
        <w:rPr>
          <w:rFonts w:ascii="Verdana" w:hAnsi="Verdana" w:cs="Tahoma"/>
        </w:rPr>
        <w:t>This is to ensure that extra support may be sought.</w:t>
      </w:r>
      <w:r w:rsidR="000E4E01">
        <w:rPr>
          <w:rFonts w:ascii="Verdana" w:hAnsi="Verdana" w:cs="Tahoma"/>
        </w:rPr>
        <w:t xml:space="preserve"> </w:t>
      </w:r>
    </w:p>
    <w:p w14:paraId="2E5F8C85" w14:textId="77777777" w:rsidR="006E54B1" w:rsidRDefault="006E54B1" w:rsidP="006E54B1">
      <w:pPr>
        <w:ind w:left="1080" w:right="399"/>
        <w:jc w:val="both"/>
        <w:rPr>
          <w:rFonts w:ascii="Verdana" w:hAnsi="Verdana" w:cs="Tahoma"/>
        </w:rPr>
      </w:pPr>
    </w:p>
    <w:p w14:paraId="229E9FA9" w14:textId="19131A7B" w:rsidR="005D59BE" w:rsidRPr="00511495" w:rsidRDefault="000E4E01" w:rsidP="006E54B1">
      <w:pPr>
        <w:ind w:left="1080" w:right="399"/>
        <w:jc w:val="both"/>
        <w:rPr>
          <w:rFonts w:ascii="Verdana" w:hAnsi="Verdana" w:cs="Tahoma"/>
        </w:rPr>
      </w:pPr>
      <w:r w:rsidRPr="00511495">
        <w:rPr>
          <w:rFonts w:ascii="Verdana" w:hAnsi="Verdana" w:cs="Tahoma"/>
        </w:rPr>
        <w:t xml:space="preserve">In order to retain </w:t>
      </w:r>
      <w:proofErr w:type="gramStart"/>
      <w:r w:rsidRPr="00511495">
        <w:rPr>
          <w:rFonts w:ascii="Verdana" w:hAnsi="Verdana" w:cs="Tahoma"/>
        </w:rPr>
        <w:t>funding</w:t>
      </w:r>
      <w:proofErr w:type="gramEnd"/>
      <w:r w:rsidRPr="00511495">
        <w:rPr>
          <w:rFonts w:ascii="Verdana" w:hAnsi="Verdana" w:cs="Tahoma"/>
        </w:rPr>
        <w:t xml:space="preserve"> we will need to receive confirmation that you are attending from your College/University</w:t>
      </w:r>
      <w:r w:rsidR="00AB7814">
        <w:rPr>
          <w:rFonts w:ascii="Verdana" w:hAnsi="Verdana" w:cs="Tahoma"/>
        </w:rPr>
        <w:t xml:space="preserve"> and the Young Person needs to provide explicit permission to the University to provide this information. The frequency of this should be needs led but as a minimum termly.</w:t>
      </w:r>
    </w:p>
    <w:p w14:paraId="3A5FEBF7" w14:textId="77777777" w:rsidR="00B728E4" w:rsidRPr="00126408" w:rsidRDefault="00B728E4" w:rsidP="006E54B1">
      <w:pPr>
        <w:ind w:left="720" w:right="399"/>
        <w:jc w:val="both"/>
        <w:rPr>
          <w:rFonts w:ascii="Verdana" w:hAnsi="Verdana" w:cs="Tahoma"/>
        </w:rPr>
      </w:pPr>
    </w:p>
    <w:p w14:paraId="0CEC26D8" w14:textId="77777777" w:rsidR="00E6712C" w:rsidRDefault="00B728E4" w:rsidP="006E54B1">
      <w:pPr>
        <w:numPr>
          <w:ilvl w:val="0"/>
          <w:numId w:val="1"/>
        </w:numPr>
        <w:ind w:right="399"/>
        <w:jc w:val="both"/>
        <w:rPr>
          <w:rFonts w:ascii="Verdana" w:hAnsi="Verdana" w:cs="Tahoma"/>
          <w:b/>
        </w:rPr>
      </w:pPr>
      <w:r w:rsidRPr="00FB72C2">
        <w:rPr>
          <w:rFonts w:ascii="Verdana" w:hAnsi="Verdana" w:cs="Tahoma"/>
          <w:b/>
        </w:rPr>
        <w:t xml:space="preserve">ACCOMMODATION </w:t>
      </w:r>
    </w:p>
    <w:p w14:paraId="5A9AE437" w14:textId="77777777" w:rsidR="00FB72C2" w:rsidRPr="00FB72C2" w:rsidRDefault="00FB72C2" w:rsidP="006E54B1">
      <w:pPr>
        <w:ind w:left="360" w:right="399"/>
        <w:jc w:val="both"/>
        <w:rPr>
          <w:rFonts w:ascii="Verdana" w:hAnsi="Verdana" w:cs="Tahoma"/>
          <w:b/>
        </w:rPr>
      </w:pPr>
    </w:p>
    <w:p w14:paraId="0331F138" w14:textId="4E5566B7" w:rsidR="005D59BE" w:rsidRDefault="00D45D55" w:rsidP="006E54B1">
      <w:pPr>
        <w:numPr>
          <w:ilvl w:val="1"/>
          <w:numId w:val="4"/>
        </w:numPr>
        <w:ind w:right="399"/>
        <w:jc w:val="both"/>
        <w:rPr>
          <w:rFonts w:ascii="Verdana" w:hAnsi="Verdana" w:cs="Tahoma"/>
        </w:rPr>
      </w:pPr>
      <w:r>
        <w:rPr>
          <w:rFonts w:ascii="Verdana" w:hAnsi="Verdana" w:cs="Tahoma"/>
        </w:rPr>
        <w:t>Whilst the allocated Personal Advisor/ Care and Support Service</w:t>
      </w:r>
      <w:r w:rsidR="006B3BA0">
        <w:rPr>
          <w:rFonts w:ascii="Verdana" w:hAnsi="Verdana" w:cs="Tahoma"/>
        </w:rPr>
        <w:t xml:space="preserve"> </w:t>
      </w:r>
      <w:r w:rsidR="005D59BE" w:rsidRPr="00126408">
        <w:rPr>
          <w:rFonts w:ascii="Verdana" w:hAnsi="Verdana" w:cs="Tahoma"/>
        </w:rPr>
        <w:t xml:space="preserve">will deal directly with the Halls of Residence or landlord to pay </w:t>
      </w:r>
      <w:r w:rsidR="007C4EF7">
        <w:rPr>
          <w:rFonts w:ascii="Verdana" w:hAnsi="Verdana" w:cs="Tahoma"/>
        </w:rPr>
        <w:t>a young person’s</w:t>
      </w:r>
      <w:r w:rsidR="005D59BE" w:rsidRPr="00126408">
        <w:rPr>
          <w:rFonts w:ascii="Verdana" w:hAnsi="Verdana" w:cs="Tahoma"/>
        </w:rPr>
        <w:t xml:space="preserve"> rent, it is the responsibility of the young person to ensure that they take care of the property and eventually secure the return of the deposit</w:t>
      </w:r>
      <w:r w:rsidR="00AB7814">
        <w:rPr>
          <w:rFonts w:ascii="Verdana" w:hAnsi="Verdana" w:cs="Tahoma"/>
        </w:rPr>
        <w:t>, where applicable</w:t>
      </w:r>
      <w:r w:rsidR="005D59BE" w:rsidRPr="00126408">
        <w:rPr>
          <w:rFonts w:ascii="Verdana" w:hAnsi="Verdana" w:cs="Tahoma"/>
        </w:rPr>
        <w:t>.</w:t>
      </w:r>
    </w:p>
    <w:p w14:paraId="2DFF9FA7" w14:textId="77777777" w:rsidR="00E6712C" w:rsidRDefault="00E6712C" w:rsidP="006E54B1">
      <w:pPr>
        <w:ind w:left="360" w:right="399"/>
        <w:jc w:val="both"/>
        <w:rPr>
          <w:rFonts w:ascii="Verdana" w:hAnsi="Verdana" w:cs="Tahoma"/>
        </w:rPr>
      </w:pPr>
    </w:p>
    <w:p w14:paraId="429C86E3" w14:textId="153F1F09" w:rsidR="005D59BE" w:rsidRDefault="00E6712C" w:rsidP="006E54B1">
      <w:pPr>
        <w:numPr>
          <w:ilvl w:val="1"/>
          <w:numId w:val="4"/>
        </w:numPr>
        <w:ind w:right="399"/>
        <w:jc w:val="both"/>
        <w:rPr>
          <w:rFonts w:ascii="Verdana" w:hAnsi="Verdana" w:cs="Tahoma"/>
        </w:rPr>
      </w:pPr>
      <w:r>
        <w:rPr>
          <w:rFonts w:ascii="Verdana" w:hAnsi="Verdana" w:cs="Tahoma"/>
        </w:rPr>
        <w:t>I</w:t>
      </w:r>
      <w:r w:rsidR="007C4EF7">
        <w:rPr>
          <w:rFonts w:ascii="Verdana" w:hAnsi="Verdana" w:cs="Tahoma"/>
        </w:rPr>
        <w:t>f the young person</w:t>
      </w:r>
      <w:r w:rsidR="005D59BE" w:rsidRPr="00126408">
        <w:rPr>
          <w:rFonts w:ascii="Verdana" w:hAnsi="Verdana" w:cs="Tahoma"/>
        </w:rPr>
        <w:t xml:space="preserve"> live</w:t>
      </w:r>
      <w:r w:rsidR="007C4EF7">
        <w:rPr>
          <w:rFonts w:ascii="Verdana" w:hAnsi="Verdana" w:cs="Tahoma"/>
        </w:rPr>
        <w:t>s</w:t>
      </w:r>
      <w:r w:rsidR="005D59BE" w:rsidRPr="00126408">
        <w:rPr>
          <w:rFonts w:ascii="Verdana" w:hAnsi="Verdana" w:cs="Tahoma"/>
        </w:rPr>
        <w:t xml:space="preserve"> in Halls (which people gene</w:t>
      </w:r>
      <w:r w:rsidR="001E675E">
        <w:rPr>
          <w:rFonts w:ascii="Verdana" w:hAnsi="Verdana" w:cs="Tahoma"/>
        </w:rPr>
        <w:t xml:space="preserve">rally do in the first </w:t>
      </w:r>
      <w:r w:rsidR="007C4EF7">
        <w:rPr>
          <w:rFonts w:ascii="Verdana" w:hAnsi="Verdana" w:cs="Tahoma"/>
        </w:rPr>
        <w:t>year) their</w:t>
      </w:r>
      <w:r w:rsidR="005D59BE" w:rsidRPr="00126408">
        <w:rPr>
          <w:rFonts w:ascii="Verdana" w:hAnsi="Verdana" w:cs="Tahoma"/>
        </w:rPr>
        <w:t xml:space="preserve"> utility bills are included (ga</w:t>
      </w:r>
      <w:r w:rsidR="007C4EF7">
        <w:rPr>
          <w:rFonts w:ascii="Verdana" w:hAnsi="Verdana" w:cs="Tahoma"/>
        </w:rPr>
        <w:t>s, electric, water)</w:t>
      </w:r>
      <w:r w:rsidR="00AB7814">
        <w:rPr>
          <w:rFonts w:ascii="Verdana" w:hAnsi="Verdana" w:cs="Tahoma"/>
        </w:rPr>
        <w:t>. They may need to purchase their own</w:t>
      </w:r>
      <w:r w:rsidR="005D59BE" w:rsidRPr="00126408">
        <w:rPr>
          <w:rFonts w:ascii="Verdana" w:hAnsi="Verdana" w:cs="Tahoma"/>
        </w:rPr>
        <w:t xml:space="preserve"> TV licence</w:t>
      </w:r>
      <w:r w:rsidR="00AB7814">
        <w:rPr>
          <w:rFonts w:ascii="Verdana" w:hAnsi="Verdana" w:cs="Tahoma"/>
        </w:rPr>
        <w:t xml:space="preserve"> dependent on use</w:t>
      </w:r>
      <w:r w:rsidR="005D59BE" w:rsidRPr="00126408">
        <w:rPr>
          <w:rFonts w:ascii="Verdana" w:hAnsi="Verdana" w:cs="Tahoma"/>
        </w:rPr>
        <w:t>.</w:t>
      </w:r>
    </w:p>
    <w:p w14:paraId="09EF8C4F" w14:textId="77777777" w:rsidR="00CA0A63" w:rsidRDefault="00CA0A63" w:rsidP="006E54B1">
      <w:pPr>
        <w:ind w:right="399"/>
        <w:jc w:val="both"/>
        <w:rPr>
          <w:rFonts w:ascii="Verdana" w:hAnsi="Verdana" w:cs="Tahoma"/>
        </w:rPr>
      </w:pPr>
    </w:p>
    <w:p w14:paraId="45E65E02" w14:textId="77777777" w:rsidR="005D59BE" w:rsidRPr="007C4EF7" w:rsidRDefault="007C4EF7" w:rsidP="006E54B1">
      <w:pPr>
        <w:numPr>
          <w:ilvl w:val="0"/>
          <w:numId w:val="5"/>
        </w:numPr>
        <w:tabs>
          <w:tab w:val="clear" w:pos="949"/>
          <w:tab w:val="num" w:pos="1080"/>
        </w:tabs>
        <w:ind w:right="399" w:hanging="589"/>
        <w:jc w:val="both"/>
        <w:rPr>
          <w:rFonts w:ascii="Verdana" w:hAnsi="Verdana" w:cs="Tahoma"/>
        </w:rPr>
      </w:pPr>
      <w:r w:rsidRPr="00126408">
        <w:rPr>
          <w:rFonts w:ascii="Verdana" w:hAnsi="Verdana" w:cs="Tahoma"/>
          <w:b/>
        </w:rPr>
        <w:t>FURTHER GUIDANCE NOTES</w:t>
      </w:r>
    </w:p>
    <w:p w14:paraId="31B14C1E" w14:textId="77777777" w:rsidR="005D59BE" w:rsidRPr="00126408" w:rsidRDefault="005D59BE" w:rsidP="006E54B1">
      <w:pPr>
        <w:ind w:left="720" w:right="399"/>
        <w:jc w:val="both"/>
        <w:rPr>
          <w:rFonts w:ascii="Verdana" w:hAnsi="Verdana" w:cs="Tahoma"/>
        </w:rPr>
      </w:pPr>
    </w:p>
    <w:p w14:paraId="79C1E91F" w14:textId="77777777" w:rsidR="005D59BE" w:rsidRDefault="004D1AF1" w:rsidP="006E54B1">
      <w:pPr>
        <w:numPr>
          <w:ilvl w:val="1"/>
          <w:numId w:val="5"/>
        </w:numPr>
        <w:ind w:right="399"/>
        <w:jc w:val="both"/>
        <w:rPr>
          <w:rFonts w:ascii="Verdana" w:hAnsi="Verdana" w:cs="Tahoma"/>
        </w:rPr>
      </w:pPr>
      <w:r>
        <w:rPr>
          <w:rFonts w:ascii="Verdana" w:hAnsi="Verdana" w:cs="Tahoma"/>
        </w:rPr>
        <w:t>A student</w:t>
      </w:r>
      <w:r w:rsidR="005D59BE" w:rsidRPr="00126408">
        <w:rPr>
          <w:rFonts w:ascii="Verdana" w:hAnsi="Verdana" w:cs="Tahoma"/>
        </w:rPr>
        <w:t xml:space="preserve"> can apply for a Maintenance Loan</w:t>
      </w:r>
      <w:r w:rsidR="001E675E">
        <w:rPr>
          <w:rFonts w:ascii="Verdana" w:hAnsi="Verdana" w:cs="Tahoma"/>
        </w:rPr>
        <w:t xml:space="preserve"> f</w:t>
      </w:r>
      <w:r w:rsidR="004A5A69">
        <w:rPr>
          <w:rFonts w:ascii="Verdana" w:hAnsi="Verdana" w:cs="Tahoma"/>
        </w:rPr>
        <w:t>r</w:t>
      </w:r>
      <w:r w:rsidR="001E675E">
        <w:rPr>
          <w:rFonts w:ascii="Verdana" w:hAnsi="Verdana" w:cs="Tahoma"/>
        </w:rPr>
        <w:t xml:space="preserve">om Student Finance. </w:t>
      </w:r>
      <w:r>
        <w:rPr>
          <w:rFonts w:ascii="Verdana" w:hAnsi="Verdana" w:cs="Tahoma"/>
        </w:rPr>
        <w:t>They</w:t>
      </w:r>
      <w:r w:rsidR="005D59BE" w:rsidRPr="00126408">
        <w:rPr>
          <w:rFonts w:ascii="Verdana" w:hAnsi="Verdana" w:cs="Tahoma"/>
        </w:rPr>
        <w:t xml:space="preserve"> will also have to </w:t>
      </w:r>
      <w:r w:rsidR="001E675E">
        <w:rPr>
          <w:rFonts w:ascii="Verdana" w:hAnsi="Verdana" w:cs="Tahoma"/>
        </w:rPr>
        <w:t xml:space="preserve">apply for a Tuition Fee Loan. </w:t>
      </w:r>
      <w:r w:rsidR="004A5A69">
        <w:rPr>
          <w:rFonts w:ascii="Verdana" w:hAnsi="Verdana" w:cs="Tahoma"/>
        </w:rPr>
        <w:t>T</w:t>
      </w:r>
      <w:r w:rsidR="005D59BE" w:rsidRPr="00126408">
        <w:rPr>
          <w:rFonts w:ascii="Verdana" w:hAnsi="Verdana" w:cs="Tahoma"/>
        </w:rPr>
        <w:t>his can be done on the same form.</w:t>
      </w:r>
    </w:p>
    <w:p w14:paraId="1F193C61" w14:textId="77777777" w:rsidR="001E675E" w:rsidRPr="00126408" w:rsidRDefault="001E675E" w:rsidP="006E54B1">
      <w:pPr>
        <w:ind w:left="1080" w:right="399"/>
        <w:jc w:val="both"/>
        <w:rPr>
          <w:rFonts w:ascii="Verdana" w:hAnsi="Verdana" w:cs="Tahoma"/>
        </w:rPr>
      </w:pPr>
    </w:p>
    <w:p w14:paraId="262E214B" w14:textId="77777777" w:rsidR="005D59BE" w:rsidRPr="00126408" w:rsidRDefault="001E675E" w:rsidP="006E54B1">
      <w:pPr>
        <w:numPr>
          <w:ilvl w:val="1"/>
          <w:numId w:val="5"/>
        </w:numPr>
        <w:ind w:right="399"/>
        <w:jc w:val="both"/>
        <w:rPr>
          <w:rFonts w:ascii="Verdana" w:hAnsi="Verdana" w:cs="Tahoma"/>
        </w:rPr>
      </w:pPr>
      <w:r>
        <w:rPr>
          <w:rFonts w:ascii="Verdana" w:hAnsi="Verdana" w:cs="Tahoma"/>
        </w:rPr>
        <w:t xml:space="preserve">The application forms, </w:t>
      </w:r>
      <w:r w:rsidR="005D59BE" w:rsidRPr="00126408">
        <w:rPr>
          <w:rFonts w:ascii="Verdana" w:hAnsi="Verdana" w:cs="Tahoma"/>
        </w:rPr>
        <w:t xml:space="preserve">PN1 (New Students) and PR1 (Continuing Students) are downloadable, however they </w:t>
      </w:r>
      <w:r w:rsidR="004D1AF1">
        <w:rPr>
          <w:rFonts w:ascii="Verdana" w:hAnsi="Verdana" w:cs="Tahoma"/>
        </w:rPr>
        <w:t>recommend</w:t>
      </w:r>
      <w:r w:rsidR="005D59BE" w:rsidRPr="00126408">
        <w:rPr>
          <w:rFonts w:ascii="Verdana" w:hAnsi="Verdana" w:cs="Tahoma"/>
        </w:rPr>
        <w:t xml:space="preserve"> apply</w:t>
      </w:r>
      <w:r w:rsidR="004D1AF1">
        <w:rPr>
          <w:rFonts w:ascii="Verdana" w:hAnsi="Verdana" w:cs="Tahoma"/>
        </w:rPr>
        <w:t>ing on line. A</w:t>
      </w:r>
      <w:r w:rsidR="005D59BE" w:rsidRPr="00126408">
        <w:rPr>
          <w:rFonts w:ascii="Verdana" w:hAnsi="Verdana" w:cs="Tahoma"/>
        </w:rPr>
        <w:t xml:space="preserve">n application for finance </w:t>
      </w:r>
      <w:r w:rsidR="004D1AF1">
        <w:rPr>
          <w:rFonts w:ascii="Verdana" w:hAnsi="Verdana" w:cs="Tahoma"/>
        </w:rPr>
        <w:t xml:space="preserve">has to be made </w:t>
      </w:r>
      <w:r w:rsidR="005D59BE" w:rsidRPr="00126408">
        <w:rPr>
          <w:rFonts w:ascii="Verdana" w:hAnsi="Verdana" w:cs="Tahoma"/>
        </w:rPr>
        <w:t>each year.</w:t>
      </w:r>
    </w:p>
    <w:p w14:paraId="52BFFBBC" w14:textId="77777777" w:rsidR="005D59BE" w:rsidRPr="00126408" w:rsidRDefault="005D59BE" w:rsidP="006E54B1">
      <w:pPr>
        <w:ind w:left="720" w:right="399"/>
        <w:jc w:val="both"/>
        <w:rPr>
          <w:rFonts w:ascii="Verdana" w:hAnsi="Verdana" w:cs="Tahoma"/>
        </w:rPr>
      </w:pPr>
    </w:p>
    <w:p w14:paraId="2A292BB2" w14:textId="77777777" w:rsidR="005D59BE" w:rsidRPr="00126408" w:rsidRDefault="004D1AF1" w:rsidP="006E54B1">
      <w:pPr>
        <w:numPr>
          <w:ilvl w:val="1"/>
          <w:numId w:val="5"/>
        </w:numPr>
        <w:ind w:right="399"/>
        <w:jc w:val="both"/>
        <w:rPr>
          <w:rFonts w:ascii="Verdana" w:hAnsi="Verdana" w:cs="Tahoma"/>
        </w:rPr>
      </w:pPr>
      <w:r>
        <w:rPr>
          <w:rFonts w:ascii="Verdana" w:hAnsi="Verdana" w:cs="Tahoma"/>
        </w:rPr>
        <w:t>T</w:t>
      </w:r>
      <w:r w:rsidR="005D59BE" w:rsidRPr="00126408">
        <w:rPr>
          <w:rFonts w:ascii="Verdana" w:hAnsi="Verdana" w:cs="Tahoma"/>
        </w:rPr>
        <w:t xml:space="preserve">he Student Finance website </w:t>
      </w:r>
      <w:r>
        <w:rPr>
          <w:rFonts w:ascii="Verdana" w:hAnsi="Verdana" w:cs="Tahoma"/>
        </w:rPr>
        <w:t xml:space="preserve">can be accessed </w:t>
      </w:r>
      <w:r w:rsidR="005D59BE" w:rsidRPr="00126408">
        <w:rPr>
          <w:rFonts w:ascii="Verdana" w:hAnsi="Verdana" w:cs="Tahoma"/>
        </w:rPr>
        <w:t xml:space="preserve">through </w:t>
      </w:r>
      <w:hyperlink r:id="rId8" w:history="1">
        <w:r w:rsidR="005D59BE" w:rsidRPr="00126408">
          <w:rPr>
            <w:rStyle w:val="Hyperlink"/>
            <w:rFonts w:ascii="Verdana" w:hAnsi="Verdana" w:cs="Tahoma"/>
          </w:rPr>
          <w:t>www.direct.gov.uk</w:t>
        </w:r>
      </w:hyperlink>
      <w:r w:rsidR="005D59BE" w:rsidRPr="00126408">
        <w:rPr>
          <w:rFonts w:ascii="Verdana" w:hAnsi="Verdana" w:cs="Tahoma"/>
        </w:rPr>
        <w:t>. This has lots of informati</w:t>
      </w:r>
      <w:r>
        <w:rPr>
          <w:rFonts w:ascii="Verdana" w:hAnsi="Verdana" w:cs="Tahoma"/>
        </w:rPr>
        <w:t xml:space="preserve">on as well as being the place to </w:t>
      </w:r>
      <w:r w:rsidR="001E675E">
        <w:rPr>
          <w:rFonts w:ascii="Verdana" w:hAnsi="Verdana" w:cs="Tahoma"/>
        </w:rPr>
        <w:t xml:space="preserve">apply. </w:t>
      </w:r>
      <w:r w:rsidR="005D59BE" w:rsidRPr="00126408">
        <w:rPr>
          <w:rFonts w:ascii="Verdana" w:hAnsi="Verdana" w:cs="Tahoma"/>
        </w:rPr>
        <w:t xml:space="preserve">There are downloadable guides that are very good and are easy to understand. </w:t>
      </w:r>
    </w:p>
    <w:p w14:paraId="087E21AF" w14:textId="77777777" w:rsidR="005D59BE" w:rsidRPr="00126408" w:rsidRDefault="005D59BE" w:rsidP="006E54B1">
      <w:pPr>
        <w:ind w:left="720" w:right="399"/>
        <w:jc w:val="both"/>
        <w:rPr>
          <w:rFonts w:ascii="Verdana" w:hAnsi="Verdana" w:cs="Tahoma"/>
        </w:rPr>
      </w:pPr>
    </w:p>
    <w:p w14:paraId="69DEFE21" w14:textId="3427DC7D" w:rsidR="005D59BE" w:rsidRPr="00126408" w:rsidRDefault="005D59BE" w:rsidP="006E54B1">
      <w:pPr>
        <w:numPr>
          <w:ilvl w:val="1"/>
          <w:numId w:val="5"/>
        </w:numPr>
        <w:ind w:right="399"/>
        <w:jc w:val="both"/>
        <w:rPr>
          <w:rFonts w:ascii="Verdana" w:hAnsi="Verdana" w:cs="Tahoma"/>
        </w:rPr>
      </w:pPr>
      <w:r w:rsidRPr="00126408">
        <w:rPr>
          <w:rFonts w:ascii="Verdana" w:hAnsi="Verdana" w:cs="Tahoma"/>
        </w:rPr>
        <w:t>Applications can u</w:t>
      </w:r>
      <w:r w:rsidR="001E675E">
        <w:rPr>
          <w:rFonts w:ascii="Verdana" w:hAnsi="Verdana" w:cs="Tahoma"/>
        </w:rPr>
        <w:t>sually be made from mid-March</w:t>
      </w:r>
      <w:r w:rsidR="00936820">
        <w:rPr>
          <w:rFonts w:ascii="Verdana" w:hAnsi="Verdana" w:cs="Tahoma"/>
        </w:rPr>
        <w:t xml:space="preserve">. </w:t>
      </w:r>
      <w:r w:rsidRPr="00126408">
        <w:rPr>
          <w:rFonts w:ascii="Verdana" w:hAnsi="Verdana" w:cs="Tahoma"/>
        </w:rPr>
        <w:t xml:space="preserve">The website will advise of the date </w:t>
      </w:r>
      <w:proofErr w:type="gramStart"/>
      <w:r w:rsidRPr="00126408">
        <w:rPr>
          <w:rFonts w:ascii="Verdana" w:hAnsi="Verdana" w:cs="Tahoma"/>
        </w:rPr>
        <w:t>and also</w:t>
      </w:r>
      <w:proofErr w:type="gramEnd"/>
      <w:r w:rsidRPr="00126408">
        <w:rPr>
          <w:rFonts w:ascii="Verdana" w:hAnsi="Verdana" w:cs="Tahoma"/>
        </w:rPr>
        <w:t xml:space="preserve"> the dat</w:t>
      </w:r>
      <w:r w:rsidR="006E54B1">
        <w:rPr>
          <w:rFonts w:ascii="Verdana" w:hAnsi="Verdana" w:cs="Tahoma"/>
        </w:rPr>
        <w:t>e the applications</w:t>
      </w:r>
      <w:r w:rsidR="004D1AF1">
        <w:rPr>
          <w:rFonts w:ascii="Verdana" w:hAnsi="Verdana" w:cs="Tahoma"/>
        </w:rPr>
        <w:t xml:space="preserve"> have to be in by.  If a student</w:t>
      </w:r>
      <w:r w:rsidRPr="00126408">
        <w:rPr>
          <w:rFonts w:ascii="Verdana" w:hAnsi="Verdana" w:cs="Tahoma"/>
        </w:rPr>
        <w:t xml:space="preserve"> change</w:t>
      </w:r>
      <w:r w:rsidR="004D1AF1">
        <w:rPr>
          <w:rFonts w:ascii="Verdana" w:hAnsi="Verdana" w:cs="Tahoma"/>
        </w:rPr>
        <w:t xml:space="preserve">s </w:t>
      </w:r>
      <w:r w:rsidR="006E54B1">
        <w:rPr>
          <w:rFonts w:ascii="Verdana" w:hAnsi="Verdana" w:cs="Tahoma"/>
        </w:rPr>
        <w:t xml:space="preserve">their </w:t>
      </w:r>
      <w:r w:rsidR="004D1AF1">
        <w:rPr>
          <w:rFonts w:ascii="Verdana" w:hAnsi="Verdana" w:cs="Tahoma"/>
        </w:rPr>
        <w:t>course they</w:t>
      </w:r>
      <w:r w:rsidRPr="00126408">
        <w:rPr>
          <w:rFonts w:ascii="Verdana" w:hAnsi="Verdana" w:cs="Tahoma"/>
        </w:rPr>
        <w:t xml:space="preserve"> will need to inform Student Finance.</w:t>
      </w:r>
    </w:p>
    <w:p w14:paraId="2AC823BD" w14:textId="77777777" w:rsidR="005D59BE" w:rsidRPr="00126408" w:rsidRDefault="005D59BE" w:rsidP="006E54B1">
      <w:pPr>
        <w:ind w:left="480" w:right="399"/>
        <w:jc w:val="both"/>
        <w:rPr>
          <w:rFonts w:ascii="Verdana" w:hAnsi="Verdana" w:cs="Tahoma"/>
        </w:rPr>
      </w:pPr>
    </w:p>
    <w:p w14:paraId="06FCEC33" w14:textId="041F9754" w:rsidR="005D59BE" w:rsidRPr="00936820" w:rsidRDefault="005D59BE" w:rsidP="00936820">
      <w:pPr>
        <w:numPr>
          <w:ilvl w:val="1"/>
          <w:numId w:val="5"/>
        </w:numPr>
        <w:ind w:right="399"/>
        <w:jc w:val="both"/>
        <w:outlineLvl w:val="0"/>
        <w:rPr>
          <w:rFonts w:ascii="Verdana" w:hAnsi="Verdana" w:cs="Tahoma"/>
        </w:rPr>
      </w:pPr>
      <w:r w:rsidRPr="00126408">
        <w:rPr>
          <w:rFonts w:ascii="Verdana" w:hAnsi="Verdana" w:cs="Tahoma"/>
        </w:rPr>
        <w:t>Payments are made in three instalments – one at the start of each term.</w:t>
      </w:r>
    </w:p>
    <w:p w14:paraId="2FFE1534" w14:textId="77777777" w:rsidR="005D59BE" w:rsidRPr="00126408" w:rsidRDefault="005D59BE" w:rsidP="006E54B1">
      <w:pPr>
        <w:ind w:left="720" w:right="399"/>
        <w:jc w:val="both"/>
        <w:rPr>
          <w:rFonts w:ascii="Verdana" w:hAnsi="Verdana" w:cs="Tahoma"/>
        </w:rPr>
      </w:pPr>
    </w:p>
    <w:p w14:paraId="418039F7" w14:textId="77777777" w:rsidR="005D59BE" w:rsidRPr="00126408" w:rsidRDefault="004D1AF1" w:rsidP="006E54B1">
      <w:pPr>
        <w:numPr>
          <w:ilvl w:val="1"/>
          <w:numId w:val="5"/>
        </w:numPr>
        <w:ind w:right="399"/>
        <w:jc w:val="both"/>
        <w:rPr>
          <w:rFonts w:ascii="Verdana" w:hAnsi="Verdana" w:cs="Tahoma"/>
        </w:rPr>
      </w:pPr>
      <w:r>
        <w:rPr>
          <w:rFonts w:ascii="Verdana" w:hAnsi="Verdana" w:cs="Tahoma"/>
        </w:rPr>
        <w:t>The amount a student will receive for their</w:t>
      </w:r>
      <w:r w:rsidR="005D59BE" w:rsidRPr="00126408">
        <w:rPr>
          <w:rFonts w:ascii="Verdana" w:hAnsi="Verdana" w:cs="Tahoma"/>
        </w:rPr>
        <w:t xml:space="preserve"> </w:t>
      </w:r>
      <w:r>
        <w:rPr>
          <w:rFonts w:ascii="Verdana" w:hAnsi="Verdana" w:cs="Tahoma"/>
        </w:rPr>
        <w:t>Tuition Fee Loan will cover their</w:t>
      </w:r>
      <w:r w:rsidR="005D59BE" w:rsidRPr="00126408">
        <w:rPr>
          <w:rFonts w:ascii="Verdana" w:hAnsi="Verdana" w:cs="Tahoma"/>
        </w:rPr>
        <w:t xml:space="preserve"> fees and will be paid directly to the university (there are a few exceptions but the </w:t>
      </w:r>
      <w:r>
        <w:rPr>
          <w:rFonts w:ascii="Verdana" w:hAnsi="Verdana" w:cs="Tahoma"/>
        </w:rPr>
        <w:t>university website would say</w:t>
      </w:r>
      <w:r w:rsidR="005D59BE" w:rsidRPr="00126408">
        <w:rPr>
          <w:rFonts w:ascii="Verdana" w:hAnsi="Verdana" w:cs="Tahoma"/>
        </w:rPr>
        <w:t xml:space="preserve"> if a course has higher than usual fees</w:t>
      </w:r>
      <w:r w:rsidR="00333260">
        <w:rPr>
          <w:rFonts w:ascii="Verdana" w:hAnsi="Verdana" w:cs="Tahoma"/>
        </w:rPr>
        <w:t>)</w:t>
      </w:r>
      <w:r w:rsidR="005D59BE" w:rsidRPr="00126408">
        <w:rPr>
          <w:rFonts w:ascii="Verdana" w:hAnsi="Verdana" w:cs="Tahoma"/>
        </w:rPr>
        <w:t>.</w:t>
      </w:r>
    </w:p>
    <w:p w14:paraId="6F3C9CE8" w14:textId="77777777" w:rsidR="005D59BE" w:rsidRPr="00126408" w:rsidRDefault="005D59BE" w:rsidP="006E54B1">
      <w:pPr>
        <w:ind w:left="720" w:right="399"/>
        <w:jc w:val="both"/>
        <w:rPr>
          <w:rFonts w:ascii="Verdana" w:hAnsi="Verdana" w:cs="Tahoma"/>
        </w:rPr>
      </w:pPr>
    </w:p>
    <w:p w14:paraId="035C6ADE" w14:textId="77777777" w:rsidR="005D59BE" w:rsidRPr="00126408" w:rsidRDefault="004D1AF1" w:rsidP="006E54B1">
      <w:pPr>
        <w:numPr>
          <w:ilvl w:val="1"/>
          <w:numId w:val="5"/>
        </w:numPr>
        <w:ind w:right="399"/>
        <w:jc w:val="both"/>
        <w:rPr>
          <w:rFonts w:ascii="Verdana" w:hAnsi="Verdana" w:cs="Tahoma"/>
        </w:rPr>
      </w:pPr>
      <w:r>
        <w:rPr>
          <w:rFonts w:ascii="Verdana" w:hAnsi="Verdana" w:cs="Tahoma"/>
        </w:rPr>
        <w:t xml:space="preserve">A student </w:t>
      </w:r>
      <w:r w:rsidR="005D59BE" w:rsidRPr="00126408">
        <w:rPr>
          <w:rFonts w:ascii="Verdana" w:hAnsi="Verdana" w:cs="Tahoma"/>
        </w:rPr>
        <w:t xml:space="preserve">will receive a financial notification </w:t>
      </w:r>
      <w:r>
        <w:rPr>
          <w:rFonts w:ascii="Verdana" w:hAnsi="Verdana" w:cs="Tahoma"/>
        </w:rPr>
        <w:t>letter and can keep track of their</w:t>
      </w:r>
      <w:r w:rsidR="005D59BE" w:rsidRPr="00126408">
        <w:rPr>
          <w:rFonts w:ascii="Verdana" w:hAnsi="Verdana" w:cs="Tahoma"/>
        </w:rPr>
        <w:t xml:space="preserve"> application on line.</w:t>
      </w:r>
    </w:p>
    <w:p w14:paraId="0B7C806C" w14:textId="77777777" w:rsidR="005D59BE" w:rsidRPr="00126408" w:rsidRDefault="005D59BE" w:rsidP="006E54B1">
      <w:pPr>
        <w:ind w:left="720" w:right="399"/>
        <w:jc w:val="both"/>
        <w:rPr>
          <w:rFonts w:ascii="Verdana" w:hAnsi="Verdana" w:cs="Tahoma"/>
        </w:rPr>
      </w:pPr>
    </w:p>
    <w:p w14:paraId="4257646F" w14:textId="3D098837" w:rsidR="005D59BE" w:rsidRPr="00126408" w:rsidRDefault="004D1AF1" w:rsidP="006E54B1">
      <w:pPr>
        <w:numPr>
          <w:ilvl w:val="1"/>
          <w:numId w:val="5"/>
        </w:numPr>
        <w:ind w:right="399"/>
        <w:jc w:val="both"/>
        <w:rPr>
          <w:rFonts w:ascii="Verdana" w:hAnsi="Verdana" w:cs="Tahoma"/>
        </w:rPr>
      </w:pPr>
      <w:r>
        <w:rPr>
          <w:rFonts w:ascii="Verdana" w:hAnsi="Verdana" w:cs="Tahoma"/>
        </w:rPr>
        <w:t xml:space="preserve">A student </w:t>
      </w:r>
      <w:r w:rsidR="005D59BE" w:rsidRPr="00126408">
        <w:rPr>
          <w:rFonts w:ascii="Verdana" w:hAnsi="Verdana" w:cs="Tahoma"/>
        </w:rPr>
        <w:t xml:space="preserve">should also usually get some sort of bursary (a </w:t>
      </w:r>
      <w:proofErr w:type="gramStart"/>
      <w:r w:rsidR="005D59BE" w:rsidRPr="00126408">
        <w:rPr>
          <w:rFonts w:ascii="Verdana" w:hAnsi="Verdana" w:cs="Tahoma"/>
        </w:rPr>
        <w:t>one off</w:t>
      </w:r>
      <w:proofErr w:type="gramEnd"/>
      <w:r w:rsidR="005D59BE" w:rsidRPr="00126408">
        <w:rPr>
          <w:rFonts w:ascii="Verdana" w:hAnsi="Verdana" w:cs="Tahoma"/>
        </w:rPr>
        <w:t xml:space="preserve"> payment) from the university – this varies </w:t>
      </w:r>
      <w:r>
        <w:rPr>
          <w:rFonts w:ascii="Verdana" w:hAnsi="Verdana" w:cs="Tahoma"/>
        </w:rPr>
        <w:t>depending on wh</w:t>
      </w:r>
      <w:r w:rsidR="00936820">
        <w:rPr>
          <w:rFonts w:ascii="Verdana" w:hAnsi="Verdana" w:cs="Tahoma"/>
        </w:rPr>
        <w:t>ich</w:t>
      </w:r>
      <w:r>
        <w:rPr>
          <w:rFonts w:ascii="Verdana" w:hAnsi="Verdana" w:cs="Tahoma"/>
        </w:rPr>
        <w:t xml:space="preserve"> university they</w:t>
      </w:r>
      <w:r w:rsidR="001E675E">
        <w:rPr>
          <w:rFonts w:ascii="Verdana" w:hAnsi="Verdana" w:cs="Tahoma"/>
        </w:rPr>
        <w:t xml:space="preserve"> are at. </w:t>
      </w:r>
      <w:r>
        <w:rPr>
          <w:rFonts w:ascii="Verdana" w:hAnsi="Verdana" w:cs="Tahoma"/>
        </w:rPr>
        <w:t>They</w:t>
      </w:r>
      <w:r w:rsidR="005D59BE" w:rsidRPr="00126408">
        <w:rPr>
          <w:rFonts w:ascii="Verdana" w:hAnsi="Verdana" w:cs="Tahoma"/>
        </w:rPr>
        <w:t xml:space="preserve"> will get details of t</w:t>
      </w:r>
      <w:r>
        <w:rPr>
          <w:rFonts w:ascii="Verdana" w:hAnsi="Verdana" w:cs="Tahoma"/>
        </w:rPr>
        <w:t>his from the university once they</w:t>
      </w:r>
      <w:r w:rsidR="005D59BE" w:rsidRPr="00126408">
        <w:rPr>
          <w:rFonts w:ascii="Verdana" w:hAnsi="Verdana" w:cs="Tahoma"/>
        </w:rPr>
        <w:t xml:space="preserve"> are enrolled there.</w:t>
      </w:r>
    </w:p>
    <w:p w14:paraId="2DB4CED1" w14:textId="77777777" w:rsidR="005D59BE" w:rsidRPr="00126408" w:rsidRDefault="005D59BE" w:rsidP="006E54B1">
      <w:pPr>
        <w:ind w:left="720" w:right="399"/>
        <w:jc w:val="both"/>
        <w:rPr>
          <w:rFonts w:ascii="Verdana" w:hAnsi="Verdana" w:cs="Tahoma"/>
        </w:rPr>
      </w:pPr>
    </w:p>
    <w:p w14:paraId="0C6EEF43" w14:textId="21E852C5" w:rsidR="005D59BE" w:rsidRPr="00126408" w:rsidRDefault="005D59BE" w:rsidP="006E54B1">
      <w:pPr>
        <w:numPr>
          <w:ilvl w:val="1"/>
          <w:numId w:val="5"/>
        </w:numPr>
        <w:ind w:right="399"/>
        <w:jc w:val="both"/>
        <w:rPr>
          <w:rFonts w:ascii="Verdana" w:hAnsi="Verdana" w:cs="Tahoma"/>
        </w:rPr>
      </w:pPr>
      <w:r w:rsidRPr="00126408">
        <w:rPr>
          <w:rFonts w:ascii="Verdana" w:hAnsi="Verdana" w:cs="Tahoma"/>
        </w:rPr>
        <w:t xml:space="preserve">Some universities have a support </w:t>
      </w:r>
      <w:r w:rsidR="006E54B1">
        <w:rPr>
          <w:rFonts w:ascii="Verdana" w:hAnsi="Verdana" w:cs="Tahoma"/>
        </w:rPr>
        <w:t>worker for Care L</w:t>
      </w:r>
      <w:r w:rsidR="004D1AF1">
        <w:rPr>
          <w:rFonts w:ascii="Verdana" w:hAnsi="Verdana" w:cs="Tahoma"/>
        </w:rPr>
        <w:t>eavers to go to if they</w:t>
      </w:r>
      <w:r w:rsidRPr="00126408">
        <w:rPr>
          <w:rFonts w:ascii="Verdana" w:hAnsi="Verdana" w:cs="Tahoma"/>
        </w:rPr>
        <w:t xml:space="preserve"> need any</w:t>
      </w:r>
      <w:r w:rsidR="004D1AF1">
        <w:rPr>
          <w:rFonts w:ascii="Verdana" w:hAnsi="Verdana" w:cs="Tahoma"/>
        </w:rPr>
        <w:t xml:space="preserve"> advice or support – whether they use this or not is up to them</w:t>
      </w:r>
      <w:r w:rsidRPr="00126408">
        <w:rPr>
          <w:rFonts w:ascii="Verdana" w:hAnsi="Verdana" w:cs="Tahoma"/>
        </w:rPr>
        <w:t>.</w:t>
      </w:r>
      <w:r w:rsidR="00936820">
        <w:rPr>
          <w:rFonts w:ascii="Verdana" w:hAnsi="Verdana" w:cs="Tahoma"/>
        </w:rPr>
        <w:t xml:space="preserve"> </w:t>
      </w:r>
      <w:proofErr w:type="gramStart"/>
      <w:r w:rsidR="00936820">
        <w:rPr>
          <w:rFonts w:ascii="Verdana" w:hAnsi="Verdana" w:cs="Tahoma"/>
        </w:rPr>
        <w:t>However</w:t>
      </w:r>
      <w:proofErr w:type="gramEnd"/>
      <w:r w:rsidR="00936820">
        <w:rPr>
          <w:rFonts w:ascii="Verdana" w:hAnsi="Verdana" w:cs="Tahoma"/>
        </w:rPr>
        <w:t xml:space="preserve"> the advice should always be to take this up as it can be a gateway to additional support, including financial.</w:t>
      </w:r>
    </w:p>
    <w:p w14:paraId="16DD8DD2" w14:textId="77777777" w:rsidR="005D59BE" w:rsidRPr="00126408" w:rsidRDefault="005D59BE" w:rsidP="006E54B1">
      <w:pPr>
        <w:ind w:left="720" w:right="399"/>
        <w:jc w:val="both"/>
        <w:rPr>
          <w:rFonts w:ascii="Verdana" w:hAnsi="Verdana" w:cs="Tahoma"/>
        </w:rPr>
      </w:pPr>
    </w:p>
    <w:p w14:paraId="4C9678C5" w14:textId="77777777" w:rsidR="006E54B1" w:rsidRPr="006E54B1" w:rsidRDefault="005D59BE" w:rsidP="006E54B1">
      <w:pPr>
        <w:numPr>
          <w:ilvl w:val="1"/>
          <w:numId w:val="5"/>
        </w:numPr>
        <w:ind w:right="399"/>
        <w:jc w:val="both"/>
        <w:rPr>
          <w:rFonts w:ascii="Verdana" w:hAnsi="Verdana" w:cs="Tahoma"/>
        </w:rPr>
      </w:pPr>
      <w:r w:rsidRPr="00126408">
        <w:rPr>
          <w:rFonts w:ascii="Verdana" w:hAnsi="Verdana" w:cs="Tahoma"/>
        </w:rPr>
        <w:t>Certain courses pay an annual bursary.  These are usually NHS co</w:t>
      </w:r>
      <w:r w:rsidR="001E675E">
        <w:rPr>
          <w:rFonts w:ascii="Verdana" w:hAnsi="Verdana" w:cs="Tahoma"/>
        </w:rPr>
        <w:t xml:space="preserve">urses or Social Work courses. </w:t>
      </w:r>
      <w:r w:rsidRPr="00126408">
        <w:rPr>
          <w:rFonts w:ascii="Verdana" w:hAnsi="Verdana" w:cs="Tahoma"/>
        </w:rPr>
        <w:t>These are not applied for in the same ways as grants and loans. The website will explain how to apply and has links to the relevant sites.</w:t>
      </w:r>
      <w:r w:rsidR="006E54B1">
        <w:rPr>
          <w:rFonts w:ascii="Verdana" w:hAnsi="Verdana" w:cs="Tahoma"/>
        </w:rPr>
        <w:t xml:space="preserve"> </w:t>
      </w:r>
    </w:p>
    <w:p w14:paraId="43A40258" w14:textId="77777777" w:rsidR="005D59BE" w:rsidRPr="00126408" w:rsidRDefault="005D59BE" w:rsidP="006E54B1">
      <w:pPr>
        <w:ind w:left="720" w:right="399"/>
        <w:jc w:val="both"/>
        <w:rPr>
          <w:rFonts w:ascii="Verdana" w:hAnsi="Verdana" w:cs="Tahoma"/>
        </w:rPr>
      </w:pPr>
    </w:p>
    <w:p w14:paraId="05FACF93" w14:textId="77777777" w:rsidR="005D59BE" w:rsidRPr="00126408" w:rsidRDefault="004D1AF1" w:rsidP="006E54B1">
      <w:pPr>
        <w:numPr>
          <w:ilvl w:val="1"/>
          <w:numId w:val="5"/>
        </w:numPr>
        <w:ind w:right="399"/>
        <w:jc w:val="both"/>
        <w:rPr>
          <w:rFonts w:ascii="Verdana" w:hAnsi="Verdana" w:cs="Tahoma"/>
        </w:rPr>
      </w:pPr>
      <w:r>
        <w:rPr>
          <w:rFonts w:ascii="Verdana" w:hAnsi="Verdana" w:cs="Tahoma"/>
        </w:rPr>
        <w:t>If the student is</w:t>
      </w:r>
      <w:r w:rsidR="005D59BE" w:rsidRPr="00126408">
        <w:rPr>
          <w:rFonts w:ascii="Verdana" w:hAnsi="Verdana" w:cs="Tahoma"/>
        </w:rPr>
        <w:t xml:space="preserve"> a p</w:t>
      </w:r>
      <w:r>
        <w:rPr>
          <w:rFonts w:ascii="Verdana" w:hAnsi="Verdana" w:cs="Tahoma"/>
        </w:rPr>
        <w:t>arent with a dependent child they</w:t>
      </w:r>
      <w:r w:rsidR="005D59BE" w:rsidRPr="00126408">
        <w:rPr>
          <w:rFonts w:ascii="Verdana" w:hAnsi="Verdana" w:cs="Tahoma"/>
        </w:rPr>
        <w:t xml:space="preserve"> may be able to apply for additio</w:t>
      </w:r>
      <w:r w:rsidR="001E675E">
        <w:rPr>
          <w:rFonts w:ascii="Verdana" w:hAnsi="Verdana" w:cs="Tahoma"/>
        </w:rPr>
        <w:t xml:space="preserve">nal help for childcare costs. </w:t>
      </w:r>
      <w:r w:rsidR="005D59BE" w:rsidRPr="00126408">
        <w:rPr>
          <w:rFonts w:ascii="Verdana" w:hAnsi="Verdana" w:cs="Tahoma"/>
        </w:rPr>
        <w:t>The</w:t>
      </w:r>
      <w:r>
        <w:rPr>
          <w:rFonts w:ascii="Verdana" w:hAnsi="Verdana" w:cs="Tahoma"/>
        </w:rPr>
        <w:t xml:space="preserve"> website and guides will let them know what they</w:t>
      </w:r>
      <w:r w:rsidR="005D59BE" w:rsidRPr="00126408">
        <w:rPr>
          <w:rFonts w:ascii="Verdana" w:hAnsi="Verdana" w:cs="Tahoma"/>
        </w:rPr>
        <w:t xml:space="preserve"> can apply for.</w:t>
      </w:r>
    </w:p>
    <w:p w14:paraId="01F9F992" w14:textId="77777777" w:rsidR="005D59BE" w:rsidRPr="00126408" w:rsidRDefault="005D59BE" w:rsidP="006E54B1">
      <w:pPr>
        <w:ind w:left="720" w:right="399"/>
        <w:jc w:val="both"/>
        <w:rPr>
          <w:rFonts w:ascii="Verdana" w:hAnsi="Verdana" w:cs="Tahoma"/>
        </w:rPr>
      </w:pPr>
    </w:p>
    <w:p w14:paraId="6DE80E3C" w14:textId="77777777" w:rsidR="005D59BE" w:rsidRPr="00126408" w:rsidRDefault="005D59BE" w:rsidP="006E54B1">
      <w:pPr>
        <w:numPr>
          <w:ilvl w:val="1"/>
          <w:numId w:val="5"/>
        </w:numPr>
        <w:ind w:right="399"/>
        <w:jc w:val="both"/>
        <w:rPr>
          <w:rFonts w:ascii="Verdana" w:hAnsi="Verdana" w:cs="Tahoma"/>
        </w:rPr>
      </w:pPr>
      <w:r w:rsidRPr="00126408">
        <w:rPr>
          <w:rFonts w:ascii="Verdana" w:hAnsi="Verdana" w:cs="Tahoma"/>
        </w:rPr>
        <w:lastRenderedPageBreak/>
        <w:t>All universities have an Access</w:t>
      </w:r>
      <w:r w:rsidR="001E675E">
        <w:rPr>
          <w:rFonts w:ascii="Verdana" w:hAnsi="Verdana" w:cs="Tahoma"/>
        </w:rPr>
        <w:t xml:space="preserve"> to Learning Fund. </w:t>
      </w:r>
      <w:r w:rsidR="004D1AF1">
        <w:rPr>
          <w:rFonts w:ascii="Verdana" w:hAnsi="Verdana" w:cs="Tahoma"/>
        </w:rPr>
        <w:t>Whether students</w:t>
      </w:r>
      <w:r w:rsidR="006E54B1">
        <w:rPr>
          <w:rFonts w:ascii="Verdana" w:hAnsi="Verdana" w:cs="Tahoma"/>
        </w:rPr>
        <w:t xml:space="preserve"> are allocated</w:t>
      </w:r>
      <w:r w:rsidRPr="00126408">
        <w:rPr>
          <w:rFonts w:ascii="Verdana" w:hAnsi="Verdana" w:cs="Tahoma"/>
        </w:rPr>
        <w:t xml:space="preserve"> anything from this is the decis</w:t>
      </w:r>
      <w:r w:rsidR="00D45D55">
        <w:rPr>
          <w:rFonts w:ascii="Verdana" w:hAnsi="Verdana" w:cs="Tahoma"/>
        </w:rPr>
        <w:t>ion of the U</w:t>
      </w:r>
      <w:r w:rsidR="001E675E">
        <w:rPr>
          <w:rFonts w:ascii="Verdana" w:hAnsi="Verdana" w:cs="Tahoma"/>
        </w:rPr>
        <w:t xml:space="preserve">niversity itself. </w:t>
      </w:r>
      <w:r w:rsidRPr="00126408">
        <w:rPr>
          <w:rFonts w:ascii="Verdana" w:hAnsi="Verdana" w:cs="Tahoma"/>
        </w:rPr>
        <w:t>They can give money as either a grant or a loan and in a l</w:t>
      </w:r>
      <w:r w:rsidR="001E675E">
        <w:rPr>
          <w:rFonts w:ascii="Verdana" w:hAnsi="Verdana" w:cs="Tahoma"/>
        </w:rPr>
        <w:t xml:space="preserve">ump sum or in instalments. </w:t>
      </w:r>
      <w:r w:rsidR="00AF625F">
        <w:rPr>
          <w:rFonts w:ascii="Verdana" w:hAnsi="Verdana" w:cs="Tahoma"/>
        </w:rPr>
        <w:t>Students</w:t>
      </w:r>
      <w:r w:rsidRPr="00126408">
        <w:rPr>
          <w:rFonts w:ascii="Verdana" w:hAnsi="Verdana" w:cs="Tahoma"/>
        </w:rPr>
        <w:t xml:space="preserve"> need to apply to the Student Services </w:t>
      </w:r>
      <w:r w:rsidR="006E54B1">
        <w:rPr>
          <w:rFonts w:ascii="Verdana" w:hAnsi="Verdana" w:cs="Tahoma"/>
        </w:rPr>
        <w:t>Department</w:t>
      </w:r>
      <w:r w:rsidR="00AF625F">
        <w:rPr>
          <w:rFonts w:ascii="Verdana" w:hAnsi="Verdana" w:cs="Tahoma"/>
        </w:rPr>
        <w:t xml:space="preserve"> when they have started their</w:t>
      </w:r>
      <w:r w:rsidRPr="00126408">
        <w:rPr>
          <w:rFonts w:ascii="Verdana" w:hAnsi="Verdana" w:cs="Tahoma"/>
        </w:rPr>
        <w:t xml:space="preserve"> course.</w:t>
      </w:r>
    </w:p>
    <w:p w14:paraId="7A76F67A" w14:textId="77777777" w:rsidR="005D59BE" w:rsidRPr="00126408" w:rsidRDefault="005D59BE" w:rsidP="006E54B1">
      <w:pPr>
        <w:ind w:left="720" w:right="399"/>
        <w:jc w:val="both"/>
        <w:rPr>
          <w:rFonts w:ascii="Verdana" w:hAnsi="Verdana" w:cs="Tahoma"/>
        </w:rPr>
      </w:pPr>
    </w:p>
    <w:p w14:paraId="40DA9FA1" w14:textId="77777777" w:rsidR="004A5A69" w:rsidRPr="00D45D55" w:rsidRDefault="005D59BE" w:rsidP="006E54B1">
      <w:pPr>
        <w:numPr>
          <w:ilvl w:val="1"/>
          <w:numId w:val="5"/>
        </w:numPr>
        <w:ind w:right="399"/>
        <w:jc w:val="both"/>
        <w:rPr>
          <w:rFonts w:ascii="Verdana" w:hAnsi="Verdana" w:cs="Tahoma"/>
        </w:rPr>
      </w:pPr>
      <w:r w:rsidRPr="00126408">
        <w:rPr>
          <w:rFonts w:ascii="Verdana" w:hAnsi="Verdana" w:cs="Tahoma"/>
        </w:rPr>
        <w:t>Disabled students can claim additional allowances.  These are to cover such things as s</w:t>
      </w:r>
      <w:r w:rsidR="006E54B1">
        <w:rPr>
          <w:rFonts w:ascii="Verdana" w:hAnsi="Verdana" w:cs="Tahoma"/>
        </w:rPr>
        <w:t>pecial equipment or support/</w:t>
      </w:r>
      <w:r w:rsidR="001E675E">
        <w:rPr>
          <w:rFonts w:ascii="Verdana" w:hAnsi="Verdana" w:cs="Tahoma"/>
        </w:rPr>
        <w:t xml:space="preserve">helper. </w:t>
      </w:r>
      <w:r w:rsidRPr="00126408">
        <w:rPr>
          <w:rFonts w:ascii="Verdana" w:hAnsi="Verdana" w:cs="Tahoma"/>
        </w:rPr>
        <w:t>These are known as Disabled Student Allowances (DSAs) and an assessment has to be undertaken bef</w:t>
      </w:r>
      <w:r w:rsidR="001E675E">
        <w:rPr>
          <w:rFonts w:ascii="Verdana" w:hAnsi="Verdana" w:cs="Tahoma"/>
        </w:rPr>
        <w:t xml:space="preserve">ore any money is awarded. </w:t>
      </w:r>
      <w:r w:rsidRPr="00126408">
        <w:rPr>
          <w:rFonts w:ascii="Verdana" w:hAnsi="Verdana" w:cs="Tahoma"/>
        </w:rPr>
        <w:t>These allowances are grants not loans.</w:t>
      </w:r>
    </w:p>
    <w:p w14:paraId="1E2AC054" w14:textId="77777777" w:rsidR="005D59BE" w:rsidRDefault="005D59BE" w:rsidP="006E54B1">
      <w:pPr>
        <w:ind w:right="399"/>
        <w:jc w:val="both"/>
        <w:rPr>
          <w:rFonts w:ascii="Verdana" w:hAnsi="Verdana" w:cs="Tahoma"/>
        </w:rPr>
      </w:pPr>
    </w:p>
    <w:p w14:paraId="69210C03" w14:textId="77777777" w:rsidR="004A5A69" w:rsidRPr="004A5A69" w:rsidRDefault="004A5A69" w:rsidP="006E54B1">
      <w:pPr>
        <w:ind w:right="399"/>
        <w:jc w:val="both"/>
        <w:rPr>
          <w:rFonts w:ascii="Verdana" w:hAnsi="Verdana" w:cs="Tahoma"/>
          <w:b/>
        </w:rPr>
      </w:pPr>
      <w:r w:rsidRPr="004A5A69">
        <w:rPr>
          <w:rFonts w:ascii="Verdana" w:hAnsi="Verdana" w:cs="Tahoma"/>
          <w:b/>
        </w:rPr>
        <w:t>Higher Education Bursary - Leaving Care Act</w:t>
      </w:r>
    </w:p>
    <w:p w14:paraId="33D6C374" w14:textId="77777777" w:rsidR="004A5A69" w:rsidRDefault="004A5A69" w:rsidP="006E54B1">
      <w:pPr>
        <w:ind w:right="399"/>
        <w:jc w:val="both"/>
        <w:rPr>
          <w:rFonts w:ascii="Verdana" w:hAnsi="Verdana" w:cs="Tahoma"/>
        </w:rPr>
      </w:pPr>
    </w:p>
    <w:p w14:paraId="5115165A" w14:textId="77777777" w:rsidR="00F84723" w:rsidRPr="004A5A69" w:rsidRDefault="00F84723" w:rsidP="006E54B1">
      <w:pPr>
        <w:ind w:left="1077"/>
        <w:jc w:val="both"/>
        <w:rPr>
          <w:rFonts w:ascii="Verdana" w:hAnsi="Verdana" w:cs="Tahoma"/>
          <w:b/>
        </w:rPr>
      </w:pPr>
      <w:r w:rsidRPr="004A5A69">
        <w:rPr>
          <w:rFonts w:ascii="Verdana" w:hAnsi="Verdana" w:cs="Tahoma"/>
        </w:rPr>
        <w:t>The 2008 Act amended Section 23C of the 1989 Act to introduce a    requirement for local authorities to pay a Higher Education Bursary to former relevant children who pursue a Higher Education course in accordance with their Pathway Plan. The new duty is in addition to their duty to provide assistance for education and training under Section 23C (4) of the 1989 Act. The Children Act 1989 (Higher Education Bursary) (England) Regulations 2009 deal with the payment arrangements which local authorities need to put in place to former relevant children who pursue such a course of higher education. The regulations set the amount of the one-off higher education bursary at £2,000. They prescribe the meaning of higher education for the purpose of determining eligibility for the bursary and set out the broad framework for arrangements in relation to the timing of payments and the circumstances in which payments may be withheld or recovered by a local authority.</w:t>
      </w:r>
    </w:p>
    <w:p w14:paraId="31075309" w14:textId="77777777" w:rsidR="00F84723" w:rsidRPr="004A5A69" w:rsidRDefault="00F84723" w:rsidP="006E54B1">
      <w:pPr>
        <w:ind w:left="360"/>
        <w:jc w:val="both"/>
        <w:rPr>
          <w:rFonts w:ascii="Verdana" w:hAnsi="Verdana" w:cs="Tahoma"/>
          <w:b/>
        </w:rPr>
      </w:pPr>
    </w:p>
    <w:p w14:paraId="01096008" w14:textId="77777777" w:rsidR="00F84723" w:rsidRPr="004A5A69" w:rsidRDefault="00F84723" w:rsidP="006E54B1">
      <w:pPr>
        <w:ind w:left="1077"/>
        <w:jc w:val="both"/>
        <w:rPr>
          <w:rFonts w:ascii="Verdana" w:hAnsi="Verdana" w:cs="Tahoma"/>
          <w:b/>
        </w:rPr>
      </w:pPr>
      <w:r w:rsidRPr="004A5A69">
        <w:rPr>
          <w:rFonts w:ascii="Verdana" w:hAnsi="Verdana" w:cs="Tahoma"/>
        </w:rPr>
        <w:t>The required payment of £2,000 is included in the payments to young people for their accommodation and living costs.</w:t>
      </w:r>
    </w:p>
    <w:p w14:paraId="5FB5CBA0" w14:textId="77777777" w:rsidR="00EF0093" w:rsidRDefault="00EF0093" w:rsidP="006E54B1">
      <w:pPr>
        <w:ind w:left="480" w:right="399"/>
        <w:jc w:val="both"/>
        <w:rPr>
          <w:rFonts w:ascii="Verdana" w:hAnsi="Verdana" w:cs="Arial"/>
        </w:rPr>
      </w:pPr>
    </w:p>
    <w:p w14:paraId="5C51A638" w14:textId="4D1F5D91" w:rsidR="002F7192" w:rsidRDefault="00DA0994" w:rsidP="00D45D55">
      <w:pPr>
        <w:ind w:right="399"/>
        <w:jc w:val="both"/>
        <w:rPr>
          <w:rFonts w:ascii="Verdana" w:hAnsi="Verdana" w:cs="Arial"/>
          <w:b/>
          <w:bCs/>
        </w:rPr>
      </w:pPr>
      <w:r w:rsidRPr="00DA0994">
        <w:rPr>
          <w:rFonts w:ascii="Verdana" w:hAnsi="Verdana" w:cs="Arial"/>
          <w:b/>
          <w:bCs/>
        </w:rPr>
        <w:t>Payment</w:t>
      </w:r>
      <w:r>
        <w:rPr>
          <w:rFonts w:ascii="Verdana" w:hAnsi="Verdana" w:cs="Arial"/>
          <w:b/>
          <w:bCs/>
        </w:rPr>
        <w:t xml:space="preserve"> Arrangements</w:t>
      </w:r>
    </w:p>
    <w:p w14:paraId="47555B44" w14:textId="309B2682" w:rsidR="00DA0994" w:rsidRDefault="00DA0994" w:rsidP="00D45D55">
      <w:pPr>
        <w:ind w:right="399"/>
        <w:jc w:val="both"/>
        <w:rPr>
          <w:rFonts w:ascii="Verdana" w:hAnsi="Verdana" w:cs="Arial"/>
          <w:b/>
          <w:bCs/>
        </w:rPr>
      </w:pPr>
    </w:p>
    <w:p w14:paraId="4B2104CB" w14:textId="1620DC7F" w:rsidR="00DA0994" w:rsidRPr="00DA0994" w:rsidRDefault="00DA0994" w:rsidP="00D45D55">
      <w:pPr>
        <w:ind w:right="399"/>
        <w:jc w:val="both"/>
        <w:rPr>
          <w:rFonts w:ascii="Verdana" w:hAnsi="Verdana" w:cs="Arial"/>
        </w:rPr>
      </w:pPr>
      <w:r>
        <w:rPr>
          <w:rFonts w:ascii="Verdana" w:hAnsi="Verdana" w:cs="Arial"/>
        </w:rPr>
        <w:t>It is the responsibility of the Personal Advisor to support the Young Person to identify how their Higher Education Allowance will be administered, either within a PEP or a Pathway Plan, which will depend on clear accommodation costs being identified. A funding application (C61) is to be completed detailing these arrangements for Strategic Lead agreement.</w:t>
      </w:r>
    </w:p>
    <w:sectPr w:rsidR="00DA0994" w:rsidRPr="00DA0994" w:rsidSect="005D59BE">
      <w:headerReference w:type="default" r:id="rId9"/>
      <w:footerReference w:type="default" r:id="rId10"/>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E59E" w14:textId="77777777" w:rsidR="000B6787" w:rsidRDefault="000B6787">
      <w:r>
        <w:separator/>
      </w:r>
    </w:p>
  </w:endnote>
  <w:endnote w:type="continuationSeparator" w:id="0">
    <w:p w14:paraId="3789A64B" w14:textId="77777777" w:rsidR="000B6787" w:rsidRDefault="000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D5BF" w14:textId="72FF52D1" w:rsidR="004A5A69" w:rsidRDefault="003A0274">
    <w:pPr>
      <w:pStyle w:val="Footer"/>
      <w:rPr>
        <w:rFonts w:ascii="Verdana" w:hAnsi="Verdana"/>
        <w:sz w:val="16"/>
        <w:szCs w:val="16"/>
      </w:rPr>
    </w:pPr>
    <w:r>
      <w:rPr>
        <w:rFonts w:ascii="Verdana" w:hAnsi="Verdana"/>
        <w:sz w:val="16"/>
        <w:szCs w:val="16"/>
      </w:rPr>
      <w:t>November 2021</w:t>
    </w:r>
  </w:p>
  <w:p w14:paraId="1338F0DB" w14:textId="77777777" w:rsidR="004A5A69" w:rsidRPr="005A7AB6" w:rsidRDefault="004A5A69" w:rsidP="00F63483">
    <w:pPr>
      <w:pStyle w:val="Footer"/>
      <w:jc w:val="right"/>
      <w:rPr>
        <w:rFonts w:ascii="Verdana" w:hAnsi="Verdana"/>
        <w:sz w:val="16"/>
        <w:szCs w:val="16"/>
      </w:rPr>
    </w:pPr>
    <w:r w:rsidRPr="00F63483">
      <w:rPr>
        <w:rFonts w:ascii="Verdana" w:hAnsi="Verdana"/>
        <w:sz w:val="16"/>
        <w:szCs w:val="16"/>
      </w:rPr>
      <w:t xml:space="preserve">Page </w:t>
    </w:r>
    <w:r w:rsidR="00134E58" w:rsidRPr="00F63483">
      <w:rPr>
        <w:rFonts w:ascii="Verdana" w:hAnsi="Verdana"/>
        <w:sz w:val="16"/>
        <w:szCs w:val="16"/>
      </w:rPr>
      <w:fldChar w:fldCharType="begin"/>
    </w:r>
    <w:r w:rsidRPr="00F63483">
      <w:rPr>
        <w:rFonts w:ascii="Verdana" w:hAnsi="Verdana"/>
        <w:sz w:val="16"/>
        <w:szCs w:val="16"/>
      </w:rPr>
      <w:instrText xml:space="preserve"> PAGE </w:instrText>
    </w:r>
    <w:r w:rsidR="00134E58" w:rsidRPr="00F63483">
      <w:rPr>
        <w:rFonts w:ascii="Verdana" w:hAnsi="Verdana"/>
        <w:sz w:val="16"/>
        <w:szCs w:val="16"/>
      </w:rPr>
      <w:fldChar w:fldCharType="separate"/>
    </w:r>
    <w:r w:rsidR="006C41E1">
      <w:rPr>
        <w:rFonts w:ascii="Verdana" w:hAnsi="Verdana"/>
        <w:noProof/>
        <w:sz w:val="16"/>
        <w:szCs w:val="16"/>
      </w:rPr>
      <w:t>3</w:t>
    </w:r>
    <w:r w:rsidR="00134E58" w:rsidRPr="00F63483">
      <w:rPr>
        <w:rFonts w:ascii="Verdana" w:hAnsi="Verdana"/>
        <w:sz w:val="16"/>
        <w:szCs w:val="16"/>
      </w:rPr>
      <w:fldChar w:fldCharType="end"/>
    </w:r>
    <w:r w:rsidRPr="00F63483">
      <w:rPr>
        <w:rFonts w:ascii="Verdana" w:hAnsi="Verdana"/>
        <w:sz w:val="16"/>
        <w:szCs w:val="16"/>
      </w:rPr>
      <w:t xml:space="preserve"> of </w:t>
    </w:r>
    <w:r w:rsidR="00134E58" w:rsidRPr="00F63483">
      <w:rPr>
        <w:rFonts w:ascii="Verdana" w:hAnsi="Verdana"/>
        <w:sz w:val="16"/>
        <w:szCs w:val="16"/>
      </w:rPr>
      <w:fldChar w:fldCharType="begin"/>
    </w:r>
    <w:r w:rsidRPr="00F63483">
      <w:rPr>
        <w:rFonts w:ascii="Verdana" w:hAnsi="Verdana"/>
        <w:sz w:val="16"/>
        <w:szCs w:val="16"/>
      </w:rPr>
      <w:instrText xml:space="preserve"> NUMPAGES </w:instrText>
    </w:r>
    <w:r w:rsidR="00134E58" w:rsidRPr="00F63483">
      <w:rPr>
        <w:rFonts w:ascii="Verdana" w:hAnsi="Verdana"/>
        <w:sz w:val="16"/>
        <w:szCs w:val="16"/>
      </w:rPr>
      <w:fldChar w:fldCharType="separate"/>
    </w:r>
    <w:r w:rsidR="006C41E1">
      <w:rPr>
        <w:rFonts w:ascii="Verdana" w:hAnsi="Verdana"/>
        <w:noProof/>
        <w:sz w:val="16"/>
        <w:szCs w:val="16"/>
      </w:rPr>
      <w:t>5</w:t>
    </w:r>
    <w:r w:rsidR="00134E58" w:rsidRPr="00F63483">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DFCE" w14:textId="77777777" w:rsidR="000B6787" w:rsidRDefault="000B6787">
      <w:r>
        <w:separator/>
      </w:r>
    </w:p>
  </w:footnote>
  <w:footnote w:type="continuationSeparator" w:id="0">
    <w:p w14:paraId="7C7A4A15" w14:textId="77777777" w:rsidR="000B6787" w:rsidRDefault="000B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8321A" w14:textId="77777777" w:rsidR="00B33C2C" w:rsidRDefault="004A5A69" w:rsidP="00B728E4">
    <w:pPr>
      <w:rPr>
        <w:rFonts w:ascii="Verdana" w:hAnsi="Verdana" w:cs="Tahoma"/>
        <w:b/>
      </w:rPr>
    </w:pPr>
    <w:r w:rsidRPr="00B728E4">
      <w:rPr>
        <w:rFonts w:ascii="Verdana" w:hAnsi="Verdana" w:cs="Tahoma"/>
        <w:b/>
      </w:rPr>
      <w:t xml:space="preserve">BURY SOCIAL </w:t>
    </w:r>
    <w:smartTag w:uri="urn:schemas-microsoft-com:office:smarttags" w:element="stockticker">
      <w:r w:rsidRPr="00B728E4">
        <w:rPr>
          <w:rFonts w:ascii="Verdana" w:hAnsi="Verdana" w:cs="Tahoma"/>
          <w:b/>
        </w:rPr>
        <w:t>CARE</w:t>
      </w:r>
    </w:smartTag>
    <w:r w:rsidRPr="00B728E4">
      <w:rPr>
        <w:rFonts w:ascii="Verdana" w:hAnsi="Verdana" w:cs="Tahoma"/>
        <w:b/>
      </w:rPr>
      <w:t xml:space="preserve"> </w:t>
    </w:r>
    <w:smartTag w:uri="urn:schemas-microsoft-com:office:smarttags" w:element="stockticker">
      <w:r w:rsidRPr="00B728E4">
        <w:rPr>
          <w:rFonts w:ascii="Verdana" w:hAnsi="Verdana" w:cs="Tahoma"/>
          <w:b/>
        </w:rPr>
        <w:t>AND</w:t>
      </w:r>
    </w:smartTag>
    <w:r w:rsidR="00D45D55">
      <w:rPr>
        <w:rFonts w:ascii="Verdana" w:hAnsi="Verdana" w:cs="Tahoma"/>
        <w:b/>
      </w:rPr>
      <w:t xml:space="preserve"> THE CARE AND SUPPORT SERVICE</w:t>
    </w:r>
  </w:p>
  <w:p w14:paraId="7636D31A" w14:textId="77777777" w:rsidR="004A5A69" w:rsidRPr="00B728E4" w:rsidRDefault="004A5A69" w:rsidP="00B728E4">
    <w:pPr>
      <w:rPr>
        <w:rFonts w:ascii="Verdana" w:hAnsi="Verdana" w:cs="Tahoma"/>
        <w:b/>
      </w:rPr>
    </w:pPr>
    <w:r w:rsidRPr="00B728E4">
      <w:rPr>
        <w:rFonts w:ascii="Verdana" w:hAnsi="Verdana" w:cs="Tahoma"/>
        <w:b/>
      </w:rPr>
      <w:t xml:space="preserve">UNIVERSITY </w:t>
    </w:r>
    <w:r w:rsidR="00B33C2C">
      <w:rPr>
        <w:rFonts w:ascii="Verdana" w:hAnsi="Verdana" w:cs="Tahoma"/>
        <w:b/>
      </w:rPr>
      <w:t xml:space="preserve">AND HIGHER EDUCATION </w:t>
    </w:r>
    <w:r w:rsidRPr="00B728E4">
      <w:rPr>
        <w:rFonts w:ascii="Verdana" w:hAnsi="Verdana" w:cs="Tahoma"/>
        <w:b/>
      </w:rPr>
      <w:t>POLICY</w:t>
    </w:r>
  </w:p>
  <w:p w14:paraId="304D8D79" w14:textId="77777777" w:rsidR="004A5A69" w:rsidRDefault="004A5A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E64B3"/>
    <w:multiLevelType w:val="multilevel"/>
    <w:tmpl w:val="D9C87CF2"/>
    <w:lvl w:ilvl="0">
      <w:start w:val="2"/>
      <w:numFmt w:val="decimal"/>
      <w:lvlText w:val="%1"/>
      <w:lvlJc w:val="left"/>
      <w:pPr>
        <w:tabs>
          <w:tab w:val="num" w:pos="390"/>
        </w:tabs>
        <w:ind w:left="390" w:hanging="390"/>
      </w:pPr>
      <w:rPr>
        <w:rFonts w:hint="default"/>
        <w:b w:val="0"/>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00"/>
        </w:tabs>
        <w:ind w:left="1800" w:hanging="1080"/>
      </w:pPr>
      <w:rPr>
        <w:rFonts w:hint="default"/>
        <w:b w:val="0"/>
      </w:rPr>
    </w:lvl>
    <w:lvl w:ilvl="3">
      <w:start w:val="1"/>
      <w:numFmt w:val="decimal"/>
      <w:lvlText w:val="%1.%2.%3.%4"/>
      <w:lvlJc w:val="left"/>
      <w:pPr>
        <w:tabs>
          <w:tab w:val="num" w:pos="2520"/>
        </w:tabs>
        <w:ind w:left="2520" w:hanging="1440"/>
      </w:pPr>
      <w:rPr>
        <w:rFonts w:hint="default"/>
        <w:b w:val="0"/>
      </w:rPr>
    </w:lvl>
    <w:lvl w:ilvl="4">
      <w:start w:val="1"/>
      <w:numFmt w:val="decimal"/>
      <w:lvlText w:val="%1.%2.%3.%4.%5"/>
      <w:lvlJc w:val="left"/>
      <w:pPr>
        <w:tabs>
          <w:tab w:val="num" w:pos="2880"/>
        </w:tabs>
        <w:ind w:left="2880" w:hanging="1440"/>
      </w:pPr>
      <w:rPr>
        <w:rFonts w:hint="default"/>
        <w:b w:val="0"/>
      </w:rPr>
    </w:lvl>
    <w:lvl w:ilvl="5">
      <w:start w:val="1"/>
      <w:numFmt w:val="decimal"/>
      <w:lvlText w:val="%1.%2.%3.%4.%5.%6"/>
      <w:lvlJc w:val="left"/>
      <w:pPr>
        <w:tabs>
          <w:tab w:val="num" w:pos="3600"/>
        </w:tabs>
        <w:ind w:left="3600" w:hanging="1800"/>
      </w:pPr>
      <w:rPr>
        <w:rFonts w:hint="default"/>
        <w:b w:val="0"/>
      </w:rPr>
    </w:lvl>
    <w:lvl w:ilvl="6">
      <w:start w:val="1"/>
      <w:numFmt w:val="decimal"/>
      <w:lvlText w:val="%1.%2.%3.%4.%5.%6.%7"/>
      <w:lvlJc w:val="left"/>
      <w:pPr>
        <w:tabs>
          <w:tab w:val="num" w:pos="4320"/>
        </w:tabs>
        <w:ind w:left="4320" w:hanging="2160"/>
      </w:pPr>
      <w:rPr>
        <w:rFonts w:hint="default"/>
        <w:b w:val="0"/>
      </w:rPr>
    </w:lvl>
    <w:lvl w:ilvl="7">
      <w:start w:val="1"/>
      <w:numFmt w:val="decimal"/>
      <w:lvlText w:val="%1.%2.%3.%4.%5.%6.%7.%8"/>
      <w:lvlJc w:val="left"/>
      <w:pPr>
        <w:tabs>
          <w:tab w:val="num" w:pos="5040"/>
        </w:tabs>
        <w:ind w:left="5040" w:hanging="2520"/>
      </w:pPr>
      <w:rPr>
        <w:rFonts w:hint="default"/>
        <w:b w:val="0"/>
      </w:rPr>
    </w:lvl>
    <w:lvl w:ilvl="8">
      <w:start w:val="1"/>
      <w:numFmt w:val="decimal"/>
      <w:lvlText w:val="%1.%2.%3.%4.%5.%6.%7.%8.%9"/>
      <w:lvlJc w:val="left"/>
      <w:pPr>
        <w:tabs>
          <w:tab w:val="num" w:pos="5760"/>
        </w:tabs>
        <w:ind w:left="5760" w:hanging="2880"/>
      </w:pPr>
      <w:rPr>
        <w:rFonts w:hint="default"/>
        <w:b w:val="0"/>
      </w:rPr>
    </w:lvl>
  </w:abstractNum>
  <w:abstractNum w:abstractNumId="1" w15:restartNumberingAfterBreak="0">
    <w:nsid w:val="1F3A3214"/>
    <w:multiLevelType w:val="hybridMultilevel"/>
    <w:tmpl w:val="9E70DC2E"/>
    <w:lvl w:ilvl="0" w:tplc="DD78C494">
      <w:start w:val="6"/>
      <w:numFmt w:val="decimal"/>
      <w:lvlText w:val="%1."/>
      <w:lvlJc w:val="left"/>
      <w:pPr>
        <w:tabs>
          <w:tab w:val="num" w:pos="949"/>
        </w:tabs>
        <w:ind w:left="949" w:hanging="665"/>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BE5204"/>
    <w:multiLevelType w:val="hybridMultilevel"/>
    <w:tmpl w:val="4CEED91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453D0909"/>
    <w:multiLevelType w:val="multilevel"/>
    <w:tmpl w:val="16E82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77" w:hanging="717"/>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47FA7882"/>
    <w:multiLevelType w:val="multilevel"/>
    <w:tmpl w:val="AF26E95C"/>
    <w:lvl w:ilvl="0">
      <w:start w:val="5"/>
      <w:numFmt w:val="decimal"/>
      <w:lvlText w:val="%1."/>
      <w:lvlJc w:val="left"/>
      <w:pPr>
        <w:tabs>
          <w:tab w:val="num" w:pos="360"/>
        </w:tabs>
        <w:ind w:left="1644" w:hanging="1644"/>
      </w:pPr>
      <w:rPr>
        <w:rFonts w:hint="default"/>
      </w:rPr>
    </w:lvl>
    <w:lvl w:ilvl="1">
      <w:start w:val="1"/>
      <w:numFmt w:val="decimal"/>
      <w:lvlText w:val="%1.%2."/>
      <w:lvlJc w:val="left"/>
      <w:pPr>
        <w:tabs>
          <w:tab w:val="num" w:pos="1080"/>
        </w:tabs>
        <w:ind w:left="1077" w:hanging="71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5326326E"/>
    <w:multiLevelType w:val="hybridMultilevel"/>
    <w:tmpl w:val="F4B6B58E"/>
    <w:lvl w:ilvl="0" w:tplc="169815A0">
      <w:start w:val="1"/>
      <w:numFmt w:val="decimal"/>
      <w:lvlText w:val="%1."/>
      <w:lvlJc w:val="left"/>
      <w:pPr>
        <w:tabs>
          <w:tab w:val="num" w:pos="720"/>
        </w:tabs>
        <w:ind w:left="720" w:hanging="360"/>
      </w:pPr>
      <w:rPr>
        <w:b/>
      </w:rPr>
    </w:lvl>
    <w:lvl w:ilvl="1" w:tplc="04090017">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29"/>
    <w:rsid w:val="000138A0"/>
    <w:rsid w:val="00065EDE"/>
    <w:rsid w:val="000819BC"/>
    <w:rsid w:val="000B6787"/>
    <w:rsid w:val="000E4E01"/>
    <w:rsid w:val="00126408"/>
    <w:rsid w:val="00134E58"/>
    <w:rsid w:val="001871D6"/>
    <w:rsid w:val="001E675E"/>
    <w:rsid w:val="00201D8D"/>
    <w:rsid w:val="00233A14"/>
    <w:rsid w:val="00253B51"/>
    <w:rsid w:val="00257F99"/>
    <w:rsid w:val="002656A9"/>
    <w:rsid w:val="002707F0"/>
    <w:rsid w:val="00285C82"/>
    <w:rsid w:val="002F7192"/>
    <w:rsid w:val="00326174"/>
    <w:rsid w:val="00333260"/>
    <w:rsid w:val="00380468"/>
    <w:rsid w:val="00380501"/>
    <w:rsid w:val="003A0274"/>
    <w:rsid w:val="003C1DC6"/>
    <w:rsid w:val="003C51EB"/>
    <w:rsid w:val="003D39D5"/>
    <w:rsid w:val="003F3B36"/>
    <w:rsid w:val="0042715D"/>
    <w:rsid w:val="00441E49"/>
    <w:rsid w:val="00494DF2"/>
    <w:rsid w:val="004A5A69"/>
    <w:rsid w:val="004B75E6"/>
    <w:rsid w:val="004D1AF1"/>
    <w:rsid w:val="004D21AB"/>
    <w:rsid w:val="00511495"/>
    <w:rsid w:val="005A7AB6"/>
    <w:rsid w:val="005D1392"/>
    <w:rsid w:val="005D59BE"/>
    <w:rsid w:val="00606753"/>
    <w:rsid w:val="00626E14"/>
    <w:rsid w:val="00634651"/>
    <w:rsid w:val="00652FF1"/>
    <w:rsid w:val="006658B4"/>
    <w:rsid w:val="00690484"/>
    <w:rsid w:val="00695A5D"/>
    <w:rsid w:val="006B3BA0"/>
    <w:rsid w:val="006C41E1"/>
    <w:rsid w:val="006D7A4C"/>
    <w:rsid w:val="006E54B1"/>
    <w:rsid w:val="006F4647"/>
    <w:rsid w:val="00707FC4"/>
    <w:rsid w:val="0073001E"/>
    <w:rsid w:val="007354B9"/>
    <w:rsid w:val="0074375F"/>
    <w:rsid w:val="007817FB"/>
    <w:rsid w:val="007C4EF7"/>
    <w:rsid w:val="007D5D54"/>
    <w:rsid w:val="008353A5"/>
    <w:rsid w:val="008A6472"/>
    <w:rsid w:val="008F78F8"/>
    <w:rsid w:val="00921DAF"/>
    <w:rsid w:val="00936820"/>
    <w:rsid w:val="00984607"/>
    <w:rsid w:val="009A2719"/>
    <w:rsid w:val="009A2DC9"/>
    <w:rsid w:val="009F2AE2"/>
    <w:rsid w:val="009F74D0"/>
    <w:rsid w:val="00A143F2"/>
    <w:rsid w:val="00A22102"/>
    <w:rsid w:val="00A335C9"/>
    <w:rsid w:val="00A36A30"/>
    <w:rsid w:val="00A402BF"/>
    <w:rsid w:val="00A746E3"/>
    <w:rsid w:val="00A849CF"/>
    <w:rsid w:val="00AB7814"/>
    <w:rsid w:val="00AF625F"/>
    <w:rsid w:val="00B2708E"/>
    <w:rsid w:val="00B33C2C"/>
    <w:rsid w:val="00B433DF"/>
    <w:rsid w:val="00B728E4"/>
    <w:rsid w:val="00B86FE2"/>
    <w:rsid w:val="00B96DCD"/>
    <w:rsid w:val="00BC120C"/>
    <w:rsid w:val="00BC374B"/>
    <w:rsid w:val="00BC7FC0"/>
    <w:rsid w:val="00BD0263"/>
    <w:rsid w:val="00C02C95"/>
    <w:rsid w:val="00CA0A63"/>
    <w:rsid w:val="00D07A4E"/>
    <w:rsid w:val="00D45D55"/>
    <w:rsid w:val="00D97A7B"/>
    <w:rsid w:val="00DA0994"/>
    <w:rsid w:val="00DC2F70"/>
    <w:rsid w:val="00DD1C47"/>
    <w:rsid w:val="00DD50E2"/>
    <w:rsid w:val="00E011B5"/>
    <w:rsid w:val="00E359E3"/>
    <w:rsid w:val="00E613B4"/>
    <w:rsid w:val="00E6712C"/>
    <w:rsid w:val="00E76D29"/>
    <w:rsid w:val="00E80CE1"/>
    <w:rsid w:val="00EC27D3"/>
    <w:rsid w:val="00EF0093"/>
    <w:rsid w:val="00F3265B"/>
    <w:rsid w:val="00F63483"/>
    <w:rsid w:val="00F84723"/>
    <w:rsid w:val="00F855BE"/>
    <w:rsid w:val="00FA32C4"/>
    <w:rsid w:val="00FB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8193"/>
    <o:shapelayout v:ext="edit">
      <o:idmap v:ext="edit" data="1"/>
    </o:shapelayout>
  </w:shapeDefaults>
  <w:decimalSymbol w:val="."/>
  <w:listSeparator w:val=","/>
  <w14:docId w14:val="5AD62FC3"/>
  <w15:docId w15:val="{F01F9471-30AA-4E83-8DFA-A029CFD3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6E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120C"/>
    <w:pPr>
      <w:tabs>
        <w:tab w:val="center" w:pos="4320"/>
        <w:tab w:val="right" w:pos="8640"/>
      </w:tabs>
    </w:pPr>
  </w:style>
  <w:style w:type="paragraph" w:styleId="Footer">
    <w:name w:val="footer"/>
    <w:basedOn w:val="Normal"/>
    <w:rsid w:val="00BC120C"/>
    <w:pPr>
      <w:tabs>
        <w:tab w:val="center" w:pos="4320"/>
        <w:tab w:val="right" w:pos="8640"/>
      </w:tabs>
    </w:pPr>
  </w:style>
  <w:style w:type="table" w:styleId="TableGrid">
    <w:name w:val="Table Grid"/>
    <w:basedOn w:val="TableNormal"/>
    <w:rsid w:val="00E76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D59BE"/>
    <w:rPr>
      <w:color w:val="0000FF"/>
      <w:u w:val="single"/>
    </w:rPr>
  </w:style>
  <w:style w:type="paragraph" w:styleId="DocumentMap">
    <w:name w:val="Document Map"/>
    <w:basedOn w:val="Normal"/>
    <w:semiHidden/>
    <w:rsid w:val="00380501"/>
    <w:pPr>
      <w:shd w:val="clear" w:color="auto" w:fill="000080"/>
    </w:pPr>
    <w:rPr>
      <w:rFonts w:ascii="Tahoma" w:hAnsi="Tahoma" w:cs="Tahoma"/>
      <w:sz w:val="20"/>
      <w:szCs w:val="20"/>
    </w:rPr>
  </w:style>
  <w:style w:type="paragraph" w:styleId="ListParagraph">
    <w:name w:val="List Paragraph"/>
    <w:basedOn w:val="Normal"/>
    <w:uiPriority w:val="34"/>
    <w:qFormat/>
    <w:rsid w:val="006E5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6904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YOU’RE DEPARTMENT &amp; POLICY NAME HERE</vt:lpstr>
    </vt:vector>
  </TitlesOfParts>
  <Company>Bury MBC</Company>
  <LinksUpToDate>false</LinksUpToDate>
  <CharactersWithSpaces>8250</CharactersWithSpaces>
  <SharedDoc>false</SharedDoc>
  <HLinks>
    <vt:vector size="6" baseType="variant">
      <vt:variant>
        <vt:i4>5898316</vt:i4>
      </vt:variant>
      <vt:variant>
        <vt:i4>0</vt:i4>
      </vt:variant>
      <vt:variant>
        <vt:i4>0</vt:i4>
      </vt:variant>
      <vt:variant>
        <vt:i4>5</vt:i4>
      </vt:variant>
      <vt:variant>
        <vt:lpwstr>http://www.direct.gov.uk/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YOU’RE DEPARTMENT &amp; POLICY NAME HERE</dc:title>
  <dc:creator>P.J.Gauden</dc:creator>
  <cp:lastModifiedBy>Waite, Jacqui</cp:lastModifiedBy>
  <cp:revision>2</cp:revision>
  <cp:lastPrinted>2016-06-15T15:19:00Z</cp:lastPrinted>
  <dcterms:created xsi:type="dcterms:W3CDTF">2022-02-21T13:50:00Z</dcterms:created>
  <dcterms:modified xsi:type="dcterms:W3CDTF">2022-02-21T13:50:00Z</dcterms:modified>
</cp:coreProperties>
</file>