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F3C8" w14:textId="45B5C3CD" w:rsidR="00BC214D" w:rsidRDefault="008C2DC7" w:rsidP="00BC21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The Bury Catering Award</w:t>
      </w:r>
      <w:r w:rsidR="00BC214D">
        <w:rPr>
          <w:rFonts w:ascii="Arial" w:hAnsi="Arial" w:cs="Arial"/>
          <w:b/>
          <w:bCs/>
          <w:sz w:val="32"/>
          <w:szCs w:val="32"/>
          <w:u w:val="single"/>
        </w:rPr>
        <w:t xml:space="preserve"> – Evidence List</w:t>
      </w:r>
    </w:p>
    <w:p w14:paraId="7F878A4F" w14:textId="0DD20737" w:rsidR="00BC214D" w:rsidRDefault="00BC214D" w:rsidP="00BC21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0BD6463" w14:textId="2866CCB0" w:rsidR="00BC214D" w:rsidRPr="000C6829" w:rsidRDefault="00BC214D" w:rsidP="00BC214D">
      <w:pPr>
        <w:spacing w:line="276" w:lineRule="auto"/>
        <w:jc w:val="both"/>
        <w:rPr>
          <w:rFonts w:ascii="Arial" w:hAnsi="Arial" w:cs="Arial"/>
          <w:sz w:val="24"/>
          <w:szCs w:val="32"/>
        </w:rPr>
      </w:pPr>
      <w:r w:rsidRPr="000C6829">
        <w:rPr>
          <w:rFonts w:ascii="Arial" w:hAnsi="Arial" w:cs="Arial"/>
          <w:sz w:val="24"/>
          <w:szCs w:val="32"/>
        </w:rPr>
        <w:t xml:space="preserve">In order for us to assess your </w:t>
      </w:r>
      <w:r w:rsidR="0008383B">
        <w:rPr>
          <w:rFonts w:ascii="Arial" w:hAnsi="Arial" w:cs="Arial"/>
          <w:sz w:val="24"/>
          <w:szCs w:val="32"/>
        </w:rPr>
        <w:t>Award</w:t>
      </w:r>
      <w:r w:rsidRPr="000C6829">
        <w:rPr>
          <w:rFonts w:ascii="Arial" w:hAnsi="Arial" w:cs="Arial"/>
          <w:sz w:val="24"/>
          <w:szCs w:val="32"/>
        </w:rPr>
        <w:t xml:space="preserve"> application, you must submit corroborating evidence alongside the Assessment Questionnaire.</w:t>
      </w:r>
    </w:p>
    <w:p w14:paraId="444F94B1" w14:textId="31483106" w:rsidR="00BC214D" w:rsidRPr="000C6829" w:rsidRDefault="00BC214D" w:rsidP="00BC214D">
      <w:pPr>
        <w:spacing w:line="276" w:lineRule="auto"/>
        <w:jc w:val="both"/>
        <w:rPr>
          <w:rFonts w:ascii="Arial" w:hAnsi="Arial" w:cs="Arial"/>
          <w:sz w:val="24"/>
          <w:szCs w:val="32"/>
        </w:rPr>
      </w:pPr>
      <w:r w:rsidRPr="000C6829">
        <w:rPr>
          <w:rFonts w:ascii="Arial" w:hAnsi="Arial" w:cs="Arial"/>
          <w:sz w:val="24"/>
          <w:szCs w:val="32"/>
        </w:rPr>
        <w:t>To assist you in your application, evidence required for each tier of the Award is listed below</w:t>
      </w:r>
      <w:r w:rsidR="0008383B">
        <w:rPr>
          <w:rFonts w:ascii="Arial" w:hAnsi="Arial" w:cs="Arial"/>
          <w:sz w:val="24"/>
          <w:szCs w:val="32"/>
        </w:rPr>
        <w:t>. This is not an exhaustive list and are only suggestions, please send through anything you think may support the text you have provided in the Assessment.</w:t>
      </w:r>
    </w:p>
    <w:p w14:paraId="3F021032" w14:textId="77777777" w:rsidR="00BC214D" w:rsidRDefault="00BC214D" w:rsidP="00BC214D">
      <w:pPr>
        <w:rPr>
          <w:rFonts w:ascii="Arial" w:hAnsi="Arial" w:cs="Arial"/>
          <w:b/>
          <w:bCs/>
          <w:sz w:val="28"/>
          <w:szCs w:val="28"/>
        </w:rPr>
      </w:pPr>
    </w:p>
    <w:p w14:paraId="4D6B8F0A" w14:textId="5E3A1C58" w:rsidR="00BC214D" w:rsidRDefault="00BC214D" w:rsidP="00BC214D">
      <w:pPr>
        <w:rPr>
          <w:rFonts w:ascii="Arial" w:hAnsi="Arial" w:cs="Arial"/>
          <w:sz w:val="28"/>
          <w:szCs w:val="28"/>
        </w:rPr>
      </w:pPr>
      <w:r w:rsidRPr="00BC214D">
        <w:rPr>
          <w:rFonts w:ascii="Arial" w:hAnsi="Arial" w:cs="Arial"/>
          <w:sz w:val="28"/>
          <w:szCs w:val="28"/>
        </w:rPr>
        <w:t>BRONZE AWARD</w:t>
      </w:r>
    </w:p>
    <w:p w14:paraId="765E51C1" w14:textId="2A8B20CD" w:rsidR="00BC214D" w:rsidRPr="000C6829" w:rsidRDefault="000C6829" w:rsidP="00BC2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</w:t>
      </w:r>
      <w:r w:rsidR="00BC214D" w:rsidRPr="000C6829">
        <w:rPr>
          <w:rFonts w:ascii="Arial" w:hAnsi="Arial" w:cs="Arial"/>
          <w:sz w:val="24"/>
          <w:szCs w:val="24"/>
        </w:rPr>
        <w:t>ictures of the fats or oils used when preparing and/or cooking food</w:t>
      </w:r>
    </w:p>
    <w:p w14:paraId="166A50B3" w14:textId="06E03BAE" w:rsidR="000C6829" w:rsidRPr="000C6829" w:rsidRDefault="000C6829" w:rsidP="00BC2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pictures of the condiments used during cooking and offered to customers</w:t>
      </w:r>
    </w:p>
    <w:p w14:paraId="3B07F3D9" w14:textId="74FFD6EA" w:rsidR="00BC214D" w:rsidRPr="000C6829" w:rsidRDefault="00BC214D" w:rsidP="00BC2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829">
        <w:rPr>
          <w:rFonts w:ascii="Arial" w:hAnsi="Arial" w:cs="Arial"/>
          <w:sz w:val="24"/>
          <w:szCs w:val="24"/>
        </w:rPr>
        <w:t>Copies of all drinks and food menus</w:t>
      </w:r>
    </w:p>
    <w:p w14:paraId="15E4B54A" w14:textId="2071E453" w:rsidR="00BC214D" w:rsidRDefault="000C6829" w:rsidP="00BC2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</w:t>
      </w:r>
      <w:r w:rsidR="00BC214D" w:rsidRPr="000C6829">
        <w:rPr>
          <w:rFonts w:ascii="Arial" w:hAnsi="Arial" w:cs="Arial"/>
          <w:sz w:val="24"/>
          <w:szCs w:val="24"/>
        </w:rPr>
        <w:t xml:space="preserve">ictures of </w:t>
      </w:r>
      <w:r w:rsidRPr="000C6829">
        <w:rPr>
          <w:rFonts w:ascii="Arial" w:hAnsi="Arial" w:cs="Arial"/>
          <w:sz w:val="24"/>
          <w:szCs w:val="24"/>
        </w:rPr>
        <w:t>salt shakers/condiment area</w:t>
      </w:r>
    </w:p>
    <w:p w14:paraId="5CB31A53" w14:textId="3C4C71A3" w:rsidR="000C6829" w:rsidRDefault="000C6829" w:rsidP="00BC2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pictures of the drink’s fridge (with drink offerings clearly visible and identifiable)</w:t>
      </w:r>
    </w:p>
    <w:p w14:paraId="7F04E3CE" w14:textId="4F829CEA" w:rsidR="000C6829" w:rsidRDefault="000C6829" w:rsidP="00BC2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that free water is available</w:t>
      </w:r>
    </w:p>
    <w:p w14:paraId="41489651" w14:textId="6CC72929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</w:t>
      </w:r>
      <w:r w:rsidRPr="000C6829">
        <w:rPr>
          <w:rFonts w:ascii="Arial" w:hAnsi="Arial" w:cs="Arial"/>
          <w:sz w:val="24"/>
          <w:szCs w:val="24"/>
        </w:rPr>
        <w:t xml:space="preserve">ictures of </w:t>
      </w:r>
      <w:r>
        <w:rPr>
          <w:rFonts w:ascii="Arial" w:hAnsi="Arial" w:cs="Arial"/>
          <w:sz w:val="24"/>
          <w:szCs w:val="24"/>
        </w:rPr>
        <w:t>customer-facing recycling bins</w:t>
      </w:r>
    </w:p>
    <w:p w14:paraId="2F8309CC" w14:textId="5C5648BE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waste management contracts</w:t>
      </w:r>
    </w:p>
    <w:p w14:paraId="7531856D" w14:textId="5B1A8218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waste oil disposal contracts</w:t>
      </w:r>
    </w:p>
    <w:p w14:paraId="22FDBF71" w14:textId="556154C0" w:rsidR="0008383B" w:rsidRDefault="0008383B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Copies/photos of your allergen book</w:t>
      </w:r>
    </w:p>
    <w:p w14:paraId="58269D6C" w14:textId="3AF56F0D" w:rsidR="000C6829" w:rsidRDefault="000C6829" w:rsidP="000C6829">
      <w:pPr>
        <w:rPr>
          <w:rFonts w:ascii="Arial" w:hAnsi="Arial" w:cs="Arial"/>
          <w:sz w:val="24"/>
          <w:szCs w:val="24"/>
        </w:rPr>
      </w:pPr>
    </w:p>
    <w:p w14:paraId="721835F9" w14:textId="61109B85" w:rsidR="000C6829" w:rsidRDefault="000C6829" w:rsidP="000C6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SILVER</w:t>
      </w:r>
      <w:r w:rsidRPr="00BC214D">
        <w:rPr>
          <w:rFonts w:ascii="Arial" w:hAnsi="Arial" w:cs="Arial"/>
          <w:sz w:val="28"/>
          <w:szCs w:val="28"/>
        </w:rPr>
        <w:t xml:space="preserve"> AWARD</w:t>
      </w:r>
    </w:p>
    <w:p w14:paraId="2A4B3EEE" w14:textId="158C8850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that smaller portions are available and promoted</w:t>
      </w:r>
    </w:p>
    <w:p w14:paraId="40B05B0A" w14:textId="7E6DF344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photos of all food displays/snack stands</w:t>
      </w:r>
      <w:r w:rsidR="0008383B">
        <w:rPr>
          <w:rFonts w:ascii="Arial" w:hAnsi="Arial" w:cs="Arial"/>
          <w:sz w:val="24"/>
          <w:szCs w:val="24"/>
        </w:rPr>
        <w:t>/area around the tills</w:t>
      </w:r>
    </w:p>
    <w:p w14:paraId="338E991F" w14:textId="5102B8A3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healthier food promotions</w:t>
      </w:r>
    </w:p>
    <w:p w14:paraId="3C071AE9" w14:textId="60A0FCF4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healthier meat options being used during cooking</w:t>
      </w:r>
    </w:p>
    <w:p w14:paraId="15B12E70" w14:textId="21AA667A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healthier dairy options being used during cooking</w:t>
      </w:r>
    </w:p>
    <w:p w14:paraId="36B3F586" w14:textId="2B65AE05" w:rsidR="000C6829" w:rsidRP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</w:t>
      </w:r>
      <w:r w:rsidRPr="000C6829">
        <w:rPr>
          <w:rFonts w:ascii="Arial" w:hAnsi="Arial" w:cs="Arial"/>
          <w:sz w:val="24"/>
          <w:szCs w:val="24"/>
        </w:rPr>
        <w:t xml:space="preserve"> a supportive atmosphere for brea</w:t>
      </w:r>
      <w:r>
        <w:rPr>
          <w:rFonts w:ascii="Arial" w:hAnsi="Arial" w:cs="Arial"/>
          <w:sz w:val="24"/>
          <w:szCs w:val="24"/>
        </w:rPr>
        <w:t>stfeeding mothers</w:t>
      </w:r>
    </w:p>
    <w:p w14:paraId="711C4F91" w14:textId="06F903DE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food waste being discouraged</w:t>
      </w:r>
    </w:p>
    <w:p w14:paraId="6BC9C3ED" w14:textId="3D7DA1A5" w:rsidR="000C6829" w:rsidRDefault="000C682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</w:t>
      </w:r>
      <w:r w:rsidRPr="000C6829">
        <w:rPr>
          <w:rFonts w:ascii="Arial" w:hAnsi="Arial" w:cs="Arial"/>
          <w:sz w:val="24"/>
          <w:szCs w:val="24"/>
        </w:rPr>
        <w:t xml:space="preserve">ictures of </w:t>
      </w:r>
      <w:r>
        <w:rPr>
          <w:rFonts w:ascii="Arial" w:hAnsi="Arial" w:cs="Arial"/>
          <w:sz w:val="24"/>
          <w:szCs w:val="24"/>
        </w:rPr>
        <w:t>food waste bins</w:t>
      </w:r>
    </w:p>
    <w:p w14:paraId="7725AAFD" w14:textId="7B1DB46D" w:rsidR="00BC214D" w:rsidRPr="00BC214D" w:rsidRDefault="00BC214D" w:rsidP="00BC214D">
      <w:pPr>
        <w:rPr>
          <w:rFonts w:ascii="Arial" w:hAnsi="Arial" w:cs="Arial"/>
          <w:sz w:val="28"/>
          <w:szCs w:val="28"/>
        </w:rPr>
      </w:pPr>
    </w:p>
    <w:p w14:paraId="3D9FB801" w14:textId="09927D84" w:rsidR="00BC214D" w:rsidRPr="00BC214D" w:rsidRDefault="00BC214D" w:rsidP="00BC214D">
      <w:pPr>
        <w:rPr>
          <w:rFonts w:ascii="Arial" w:hAnsi="Arial" w:cs="Arial"/>
          <w:sz w:val="28"/>
          <w:szCs w:val="28"/>
        </w:rPr>
      </w:pPr>
      <w:r w:rsidRPr="00BC214D">
        <w:rPr>
          <w:rFonts w:ascii="Arial" w:hAnsi="Arial" w:cs="Arial"/>
          <w:sz w:val="28"/>
          <w:szCs w:val="28"/>
        </w:rPr>
        <w:t>GOLD AWARD</w:t>
      </w:r>
    </w:p>
    <w:p w14:paraId="6E940181" w14:textId="48A15BF5" w:rsidR="00457899" w:rsidRDefault="00457899" w:rsidP="000C6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photos of all food displays/snack stands</w:t>
      </w:r>
    </w:p>
    <w:p w14:paraId="27843C95" w14:textId="0988C5D6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p</w:t>
      </w:r>
      <w:r w:rsidRPr="000C6829">
        <w:rPr>
          <w:rFonts w:ascii="Arial" w:hAnsi="Arial" w:cs="Arial"/>
          <w:sz w:val="24"/>
          <w:szCs w:val="24"/>
        </w:rPr>
        <w:t>ictures of salt shakers/condiment area</w:t>
      </w:r>
      <w:r>
        <w:rPr>
          <w:rFonts w:ascii="Arial" w:hAnsi="Arial" w:cs="Arial"/>
          <w:sz w:val="24"/>
          <w:szCs w:val="24"/>
        </w:rPr>
        <w:t>/condiments on offer</w:t>
      </w:r>
    </w:p>
    <w:p w14:paraId="5F1A4DF9" w14:textId="4259EF37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healthier meat options being used during cooking</w:t>
      </w:r>
    </w:p>
    <w:p w14:paraId="0F3AEAE6" w14:textId="619E4808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healthier grain options being used during cooking</w:t>
      </w:r>
    </w:p>
    <w:p w14:paraId="103E4D7A" w14:textId="18673736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meat and vegetable suppliers</w:t>
      </w:r>
    </w:p>
    <w:p w14:paraId="70C3B197" w14:textId="77777777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healthier food promotions</w:t>
      </w:r>
    </w:p>
    <w:p w14:paraId="4ABDDC92" w14:textId="79127F3C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fruit clearly displayed</w:t>
      </w:r>
    </w:p>
    <w:p w14:paraId="55A81875" w14:textId="73411076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confectionary being placed away from the till</w:t>
      </w:r>
    </w:p>
    <w:p w14:paraId="222173C2" w14:textId="36FE87C8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product descriptions highlighting healthier practices/options</w:t>
      </w:r>
    </w:p>
    <w:p w14:paraId="5DABCB70" w14:textId="5FE6DB03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Evidence of your commitment to recycle</w:t>
      </w:r>
    </w:p>
    <w:p w14:paraId="366CEA3E" w14:textId="05BEE4AD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your commitment to seasonal produce</w:t>
      </w:r>
    </w:p>
    <w:p w14:paraId="07577A79" w14:textId="3CF6A4AC" w:rsidR="00457899" w:rsidRDefault="00457899" w:rsidP="00457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minimal food packaging being used</w:t>
      </w:r>
    </w:p>
    <w:p w14:paraId="1581AF31" w14:textId="2B2A9BA8" w:rsidR="00BC214D" w:rsidRDefault="00BC214D" w:rsidP="00BC214D">
      <w:pPr>
        <w:jc w:val="center"/>
        <w:rPr>
          <w:rFonts w:ascii="Arial" w:hAnsi="Arial" w:cs="Arial"/>
          <w:szCs w:val="28"/>
        </w:rPr>
      </w:pPr>
    </w:p>
    <w:p w14:paraId="1CA23FFE" w14:textId="77777777" w:rsidR="00BC214D" w:rsidRPr="00E71C4F" w:rsidRDefault="00BC214D" w:rsidP="00BC21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D3DE690" w14:textId="4DA82A8B" w:rsidR="00FD7955" w:rsidRPr="00BC214D" w:rsidRDefault="00FD7955" w:rsidP="00BC214D"/>
    <w:sectPr w:rsidR="00FD7955" w:rsidRPr="00BC214D" w:rsidSect="00BC21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308F"/>
    <w:multiLevelType w:val="hybridMultilevel"/>
    <w:tmpl w:val="27E84A4E"/>
    <w:lvl w:ilvl="0" w:tplc="4BDA5D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4D"/>
    <w:rsid w:val="0008383B"/>
    <w:rsid w:val="000C6829"/>
    <w:rsid w:val="001822DC"/>
    <w:rsid w:val="002E7124"/>
    <w:rsid w:val="002F5429"/>
    <w:rsid w:val="00457899"/>
    <w:rsid w:val="00517FC9"/>
    <w:rsid w:val="00817ADC"/>
    <w:rsid w:val="008C2DC7"/>
    <w:rsid w:val="00992D87"/>
    <w:rsid w:val="00BC214D"/>
    <w:rsid w:val="00F319C7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0BD"/>
  <w15:chartTrackingRefBased/>
  <w15:docId w15:val="{F4A12115-71F4-4586-8574-0FA8B4D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="Corbel"/>
        <w:sz w:val="24"/>
        <w:szCs w:val="24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4D"/>
    <w:pPr>
      <w:spacing w:before="0"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Bury Catering Award – Evidence List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Bury Catering Award – Evidence List</dc:title>
  <dc:subject/>
  <dc:creator>McDowell, Chad</dc:creator>
  <cp:keywords/>
  <dc:description/>
  <cp:lastModifiedBy>Wood, Shannon</cp:lastModifiedBy>
  <cp:revision>2</cp:revision>
  <dcterms:created xsi:type="dcterms:W3CDTF">2022-03-09T13:11:00Z</dcterms:created>
  <dcterms:modified xsi:type="dcterms:W3CDTF">2022-03-09T13:11:00Z</dcterms:modified>
</cp:coreProperties>
</file>